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CC242" w14:textId="77777777" w:rsidR="001131BD" w:rsidRPr="004F7347" w:rsidRDefault="001131BD" w:rsidP="001131BD">
      <w:pPr>
        <w:spacing w:after="0" w:line="240" w:lineRule="auto"/>
        <w:rPr>
          <w:rFonts w:ascii="Georgia" w:hAnsi="Georgia"/>
        </w:rPr>
      </w:pPr>
      <w:bookmarkStart w:id="0" w:name="_Hlk141279511"/>
      <w:bookmarkEnd w:id="0"/>
    </w:p>
    <w:p w14:paraId="76254261" w14:textId="2396143B" w:rsidR="001131BD" w:rsidRPr="004F7347" w:rsidRDefault="003C70A2" w:rsidP="001131BD">
      <w:pPr>
        <w:spacing w:after="0" w:line="240" w:lineRule="auto"/>
        <w:jc w:val="right"/>
        <w:rPr>
          <w:rFonts w:ascii="Georgia" w:hAnsi="Georgia"/>
          <w:b/>
        </w:rPr>
      </w:pPr>
      <w:r w:rsidRPr="004F7347">
        <w:rPr>
          <w:rFonts w:ascii="Georgia" w:hAnsi="Georgia"/>
          <w:b/>
        </w:rPr>
        <w:t>For Release:</w:t>
      </w:r>
    </w:p>
    <w:p w14:paraId="0E706C5E" w14:textId="7ECC86A9" w:rsidR="001131BD" w:rsidRPr="001713D0" w:rsidRDefault="00BC3927" w:rsidP="001131BD">
      <w:pPr>
        <w:spacing w:after="0" w:line="240" w:lineRule="auto"/>
        <w:jc w:val="right"/>
        <w:rPr>
          <w:rFonts w:ascii="Georgia" w:hAnsi="Georgia"/>
          <w:color w:val="404040" w:themeColor="text1" w:themeTint="BF"/>
        </w:rPr>
      </w:pPr>
      <w:r>
        <w:rPr>
          <w:rFonts w:ascii="Georgia" w:hAnsi="Georgia"/>
          <w:color w:val="404040" w:themeColor="text1" w:themeTint="BF"/>
        </w:rPr>
        <w:t>May 14, 2026</w:t>
      </w:r>
    </w:p>
    <w:p w14:paraId="09F9FFA2" w14:textId="77777777" w:rsidR="001131BD" w:rsidRPr="008A1ED4" w:rsidRDefault="001131BD" w:rsidP="001131BD">
      <w:pPr>
        <w:spacing w:after="0" w:line="240" w:lineRule="auto"/>
        <w:rPr>
          <w:rFonts w:ascii="Georgia" w:hAnsi="Georgia"/>
          <w:b/>
        </w:rPr>
      </w:pPr>
      <w:r w:rsidRPr="008A1ED4">
        <w:rPr>
          <w:rFonts w:ascii="Georgia" w:hAnsi="Georgia"/>
          <w:b/>
        </w:rPr>
        <w:t>Contact:</w:t>
      </w:r>
    </w:p>
    <w:p w14:paraId="56D0A724" w14:textId="5F47E9D2" w:rsidR="001131BD" w:rsidRPr="008A1ED4" w:rsidRDefault="008A1ED4" w:rsidP="001131BD">
      <w:pPr>
        <w:spacing w:after="0" w:line="240" w:lineRule="auto"/>
        <w:rPr>
          <w:rFonts w:ascii="Georgia" w:hAnsi="Georgia"/>
        </w:rPr>
      </w:pPr>
      <w:r w:rsidRPr="008A1ED4">
        <w:rPr>
          <w:rFonts w:ascii="Georgia" w:hAnsi="Georgia"/>
        </w:rPr>
        <w:t>Larry Crumbie</w:t>
      </w:r>
    </w:p>
    <w:p w14:paraId="1DA90040" w14:textId="49A5A981" w:rsidR="001131BD" w:rsidRPr="008A1ED4" w:rsidRDefault="008A1ED4" w:rsidP="001131BD">
      <w:pPr>
        <w:spacing w:after="0" w:line="240" w:lineRule="auto"/>
        <w:rPr>
          <w:rFonts w:ascii="Georgia" w:hAnsi="Georgia"/>
        </w:rPr>
      </w:pPr>
      <w:r w:rsidRPr="008A1ED4">
        <w:rPr>
          <w:rFonts w:ascii="Georgia" w:hAnsi="Georgia"/>
        </w:rPr>
        <w:t>Program</w:t>
      </w:r>
      <w:r w:rsidR="00462141" w:rsidRPr="008A1ED4">
        <w:rPr>
          <w:rFonts w:ascii="Georgia" w:hAnsi="Georgia"/>
        </w:rPr>
        <w:t xml:space="preserve"> Manager</w:t>
      </w:r>
    </w:p>
    <w:p w14:paraId="777B4780" w14:textId="1CC30CF1" w:rsidR="001131BD" w:rsidRPr="008A1ED4" w:rsidRDefault="001131BD" w:rsidP="001131BD">
      <w:pPr>
        <w:spacing w:after="0" w:line="240" w:lineRule="auto"/>
        <w:rPr>
          <w:rFonts w:ascii="Georgia" w:hAnsi="Georgia"/>
        </w:rPr>
      </w:pPr>
      <w:r w:rsidRPr="008A1ED4">
        <w:rPr>
          <w:rFonts w:ascii="Georgia" w:hAnsi="Georgia"/>
        </w:rPr>
        <w:t xml:space="preserve">Florida </w:t>
      </w:r>
      <w:r w:rsidR="00101C44" w:rsidRPr="008A1ED4">
        <w:rPr>
          <w:rFonts w:ascii="Georgia" w:hAnsi="Georgia"/>
        </w:rPr>
        <w:t>Trust for Historic Preservation</w:t>
      </w:r>
    </w:p>
    <w:p w14:paraId="4F72F8CD" w14:textId="46235344" w:rsidR="001131BD" w:rsidRPr="008A1ED4" w:rsidRDefault="008A1ED4" w:rsidP="001131BD">
      <w:pPr>
        <w:spacing w:after="0" w:line="240" w:lineRule="auto"/>
        <w:rPr>
          <w:rFonts w:ascii="Georgia" w:hAnsi="Georgia"/>
        </w:rPr>
      </w:pPr>
      <w:r w:rsidRPr="008A1ED4">
        <w:rPr>
          <w:rFonts w:ascii="Georgia" w:hAnsi="Georgia"/>
        </w:rPr>
        <w:t>lcrumbie</w:t>
      </w:r>
      <w:r w:rsidR="005328D0" w:rsidRPr="008A1ED4">
        <w:rPr>
          <w:rFonts w:ascii="Georgia" w:hAnsi="Georgia"/>
        </w:rPr>
        <w:t>@</w:t>
      </w:r>
      <w:r w:rsidR="001131BD" w:rsidRPr="008A1ED4">
        <w:rPr>
          <w:rFonts w:ascii="Georgia" w:hAnsi="Georgia"/>
        </w:rPr>
        <w:t>FloridaTrust.org</w:t>
      </w:r>
    </w:p>
    <w:p w14:paraId="08BFC1B1" w14:textId="76B212D4" w:rsidR="001131BD" w:rsidRPr="004F7347" w:rsidRDefault="001131BD" w:rsidP="001131BD">
      <w:pPr>
        <w:spacing w:after="0" w:line="240" w:lineRule="auto"/>
        <w:rPr>
          <w:rFonts w:ascii="Georgia" w:hAnsi="Georgia"/>
        </w:rPr>
      </w:pPr>
      <w:r w:rsidRPr="008A1ED4">
        <w:rPr>
          <w:rFonts w:ascii="Georgia" w:hAnsi="Georgia"/>
        </w:rPr>
        <w:t>(</w:t>
      </w:r>
      <w:r w:rsidR="003B64B6" w:rsidRPr="008A1ED4">
        <w:rPr>
          <w:rFonts w:ascii="Georgia" w:hAnsi="Georgia"/>
        </w:rPr>
        <w:t xml:space="preserve">850) </w:t>
      </w:r>
      <w:r w:rsidR="00F25F2A" w:rsidRPr="008A1ED4">
        <w:rPr>
          <w:rFonts w:ascii="Georgia" w:hAnsi="Georgia"/>
        </w:rPr>
        <w:t>224-8128</w:t>
      </w:r>
    </w:p>
    <w:p w14:paraId="3F766863" w14:textId="33911267" w:rsidR="00BE2B84" w:rsidRDefault="00BE2B84" w:rsidP="001131BD">
      <w:pPr>
        <w:spacing w:after="0" w:line="240" w:lineRule="auto"/>
        <w:jc w:val="center"/>
        <w:rPr>
          <w:rFonts w:ascii="Georgia" w:hAnsi="Georgia"/>
          <w:b/>
        </w:rPr>
      </w:pPr>
    </w:p>
    <w:p w14:paraId="3C8F6393" w14:textId="75515489" w:rsidR="001131BD" w:rsidRPr="00F55565" w:rsidRDefault="006E7D4F" w:rsidP="001131BD">
      <w:pPr>
        <w:spacing w:after="0" w:line="240" w:lineRule="auto"/>
        <w:jc w:val="center"/>
        <w:rPr>
          <w:rFonts w:ascii="Georgia" w:hAnsi="Georgia"/>
          <w:b/>
          <w:sz w:val="28"/>
          <w:szCs w:val="28"/>
        </w:rPr>
      </w:pPr>
      <w:r w:rsidRPr="00F55565">
        <w:rPr>
          <w:rFonts w:ascii="Georgia" w:hAnsi="Georgia"/>
          <w:b/>
          <w:sz w:val="28"/>
          <w:szCs w:val="28"/>
        </w:rPr>
        <w:t>PRESS RELEASE</w:t>
      </w:r>
      <w:r w:rsidRPr="00F55565">
        <w:rPr>
          <w:rFonts w:ascii="Georgia" w:hAnsi="Georgia"/>
          <w:b/>
          <w:sz w:val="28"/>
          <w:szCs w:val="28"/>
        </w:rPr>
        <w:tab/>
      </w:r>
    </w:p>
    <w:p w14:paraId="63EBCE6D" w14:textId="77777777" w:rsidR="00BE2B84" w:rsidRPr="004F7347" w:rsidRDefault="003B64B6" w:rsidP="003B64B6">
      <w:pPr>
        <w:tabs>
          <w:tab w:val="left" w:pos="5250"/>
        </w:tabs>
        <w:spacing w:after="0" w:line="240" w:lineRule="auto"/>
        <w:rPr>
          <w:rFonts w:ascii="Georgia" w:hAnsi="Georgia"/>
          <w:b/>
        </w:rPr>
      </w:pPr>
      <w:r w:rsidRPr="004F7347">
        <w:rPr>
          <w:rFonts w:ascii="Georgia" w:hAnsi="Georgia"/>
          <w:b/>
        </w:rPr>
        <w:tab/>
      </w:r>
    </w:p>
    <w:p w14:paraId="685B0523" w14:textId="46D6EA59" w:rsidR="001131BD" w:rsidRPr="000B22AD" w:rsidRDefault="001131BD" w:rsidP="00B96AB2">
      <w:pPr>
        <w:spacing w:after="0" w:line="240" w:lineRule="auto"/>
        <w:jc w:val="center"/>
        <w:rPr>
          <w:rFonts w:ascii="Georgia" w:hAnsi="Georgia"/>
          <w:b/>
        </w:rPr>
      </w:pPr>
      <w:r w:rsidRPr="000B22AD">
        <w:rPr>
          <w:rFonts w:ascii="Georgia" w:hAnsi="Georgia"/>
          <w:b/>
        </w:rPr>
        <w:t xml:space="preserve">Florida Trust </w:t>
      </w:r>
      <w:r w:rsidR="00FA06E4" w:rsidRPr="000B22AD">
        <w:rPr>
          <w:rFonts w:ascii="Georgia" w:hAnsi="Georgia"/>
          <w:b/>
        </w:rPr>
        <w:t xml:space="preserve">for Historic Preservation </w:t>
      </w:r>
      <w:r w:rsidR="006E7D4F" w:rsidRPr="000B22AD">
        <w:rPr>
          <w:rFonts w:ascii="Georgia" w:hAnsi="Georgia"/>
          <w:b/>
        </w:rPr>
        <w:t xml:space="preserve">Announces </w:t>
      </w:r>
      <w:r w:rsidR="00D27980">
        <w:rPr>
          <w:rFonts w:ascii="Georgia" w:hAnsi="Georgia"/>
          <w:b/>
        </w:rPr>
        <w:t>this year’s</w:t>
      </w:r>
      <w:r w:rsidR="001B0499" w:rsidRPr="000B22AD">
        <w:rPr>
          <w:rFonts w:ascii="Georgia" w:hAnsi="Georgia"/>
          <w:b/>
        </w:rPr>
        <w:t xml:space="preserve"> 11 to </w:t>
      </w:r>
      <w:proofErr w:type="gramStart"/>
      <w:r w:rsidR="001B0499" w:rsidRPr="000B22AD">
        <w:rPr>
          <w:rFonts w:ascii="Georgia" w:hAnsi="Georgia"/>
          <w:b/>
        </w:rPr>
        <w:t>Save</w:t>
      </w:r>
      <w:r w:rsidR="00D27980">
        <w:rPr>
          <w:rFonts w:ascii="Georgia" w:hAnsi="Georgia"/>
          <w:b/>
        </w:rPr>
        <w:t>,</w:t>
      </w:r>
      <w:proofErr w:type="gramEnd"/>
      <w:r w:rsidR="00D27980">
        <w:rPr>
          <w:rFonts w:ascii="Georgia" w:hAnsi="Georgia"/>
          <w:b/>
        </w:rPr>
        <w:t xml:space="preserve"> Endangered Historic Places in Florida</w:t>
      </w:r>
      <w:r w:rsidR="006E7D4F" w:rsidRPr="000B22AD">
        <w:rPr>
          <w:rFonts w:ascii="Georgia" w:hAnsi="Georgia"/>
          <w:b/>
        </w:rPr>
        <w:t xml:space="preserve"> </w:t>
      </w:r>
    </w:p>
    <w:p w14:paraId="06E0EBE1" w14:textId="5FD0236E" w:rsidR="001131BD" w:rsidRPr="000B22AD" w:rsidRDefault="001131BD" w:rsidP="001131BD">
      <w:pPr>
        <w:spacing w:after="0" w:line="240" w:lineRule="auto"/>
        <w:rPr>
          <w:rFonts w:ascii="Georgia" w:hAnsi="Georgia"/>
        </w:rPr>
      </w:pPr>
    </w:p>
    <w:p w14:paraId="7DC5DA3F" w14:textId="2A8EE7CD" w:rsidR="001131BD" w:rsidRPr="000B22AD" w:rsidRDefault="00D27980" w:rsidP="001B0499">
      <w:pPr>
        <w:tabs>
          <w:tab w:val="left" w:pos="7300"/>
        </w:tabs>
        <w:spacing w:after="0" w:line="240" w:lineRule="auto"/>
        <w:jc w:val="center"/>
        <w:rPr>
          <w:rFonts w:ascii="Georgia" w:hAnsi="Georgia"/>
          <w:i/>
        </w:rPr>
      </w:pPr>
      <w:r>
        <w:rPr>
          <w:rFonts w:ascii="Georgia" w:hAnsi="Georgia"/>
          <w:i/>
        </w:rPr>
        <w:t>The annual l</w:t>
      </w:r>
      <w:r w:rsidR="001B0499" w:rsidRPr="000B22AD">
        <w:rPr>
          <w:rFonts w:ascii="Georgia" w:hAnsi="Georgia"/>
          <w:i/>
        </w:rPr>
        <w:t xml:space="preserve">ist </w:t>
      </w:r>
      <w:r>
        <w:rPr>
          <w:rFonts w:ascii="Georgia" w:hAnsi="Georgia"/>
          <w:i/>
        </w:rPr>
        <w:t xml:space="preserve">provides a voice for communities around the state, and </w:t>
      </w:r>
      <w:r w:rsidR="001B0499" w:rsidRPr="000B22AD">
        <w:rPr>
          <w:rFonts w:ascii="Georgia" w:hAnsi="Georgia"/>
          <w:i/>
        </w:rPr>
        <w:t xml:space="preserve">drives the </w:t>
      </w:r>
      <w:r>
        <w:rPr>
          <w:rFonts w:ascii="Georgia" w:hAnsi="Georgia"/>
          <w:i/>
        </w:rPr>
        <w:t>organization’s</w:t>
      </w:r>
      <w:r w:rsidR="001B0499" w:rsidRPr="000B22AD">
        <w:rPr>
          <w:rFonts w:ascii="Georgia" w:hAnsi="Georgia"/>
          <w:i/>
        </w:rPr>
        <w:t xml:space="preserve"> education</w:t>
      </w:r>
      <w:r>
        <w:rPr>
          <w:rFonts w:ascii="Georgia" w:hAnsi="Georgia"/>
          <w:i/>
        </w:rPr>
        <w:t xml:space="preserve"> </w:t>
      </w:r>
      <w:r w:rsidR="001B0499" w:rsidRPr="000B22AD">
        <w:rPr>
          <w:rFonts w:ascii="Georgia" w:hAnsi="Georgia"/>
          <w:i/>
        </w:rPr>
        <w:t xml:space="preserve">and advocacy initiatives for the year </w:t>
      </w:r>
    </w:p>
    <w:p w14:paraId="2A5295FA" w14:textId="13A0E2A2" w:rsidR="00BA56B7" w:rsidRDefault="00BA56B7" w:rsidP="00FF09E8">
      <w:pPr>
        <w:spacing w:after="0" w:line="240" w:lineRule="auto"/>
        <w:jc w:val="center"/>
        <w:rPr>
          <w:rFonts w:ascii="Georgia" w:hAnsi="Georgia"/>
        </w:rPr>
      </w:pPr>
    </w:p>
    <w:p w14:paraId="1E2327D0" w14:textId="77777777" w:rsidR="00D27980" w:rsidRPr="000B22AD" w:rsidRDefault="00D27980" w:rsidP="00FF09E8">
      <w:pPr>
        <w:spacing w:after="0" w:line="240" w:lineRule="auto"/>
        <w:jc w:val="center"/>
        <w:rPr>
          <w:rFonts w:ascii="Georgia" w:hAnsi="Georgia"/>
        </w:rPr>
      </w:pPr>
    </w:p>
    <w:p w14:paraId="3D5071A9" w14:textId="3B92985D" w:rsidR="00EB717D" w:rsidRPr="00401C31" w:rsidRDefault="00BC3927" w:rsidP="001B0499">
      <w:pPr>
        <w:spacing w:after="0" w:line="240" w:lineRule="auto"/>
        <w:rPr>
          <w:rFonts w:ascii="Georgia" w:hAnsi="Georgia"/>
          <w:b/>
        </w:rPr>
      </w:pPr>
      <w:r>
        <w:rPr>
          <w:rFonts w:ascii="Georgia" w:hAnsi="Georgia"/>
          <w:b/>
          <w:highlight w:val="yellow"/>
        </w:rPr>
        <w:t>St. Petersburg</w:t>
      </w:r>
      <w:r w:rsidR="00EB717D" w:rsidRPr="007B0C1E">
        <w:rPr>
          <w:rFonts w:ascii="Georgia" w:hAnsi="Georgia"/>
          <w:b/>
          <w:highlight w:val="yellow"/>
        </w:rPr>
        <w:t>, Fla</w:t>
      </w:r>
      <w:r w:rsidR="00D27980" w:rsidRPr="007B0C1E">
        <w:rPr>
          <w:rFonts w:ascii="Georgia" w:hAnsi="Georgia"/>
          <w:b/>
          <w:highlight w:val="yellow"/>
        </w:rPr>
        <w:t>.</w:t>
      </w:r>
      <w:r w:rsidR="00EB717D" w:rsidRPr="007B0C1E">
        <w:rPr>
          <w:rFonts w:ascii="Georgia" w:hAnsi="Georgia"/>
          <w:b/>
          <w:highlight w:val="yellow"/>
        </w:rPr>
        <w:t xml:space="preserve">, </w:t>
      </w:r>
      <w:r>
        <w:rPr>
          <w:rFonts w:ascii="Georgia" w:hAnsi="Georgia"/>
          <w:b/>
          <w:highlight w:val="yellow"/>
        </w:rPr>
        <w:t>May 14</w:t>
      </w:r>
      <w:r w:rsidR="00FD3156" w:rsidRPr="007B0C1E">
        <w:rPr>
          <w:rFonts w:ascii="Georgia" w:hAnsi="Georgia"/>
          <w:b/>
          <w:highlight w:val="yellow"/>
        </w:rPr>
        <w:t>, 202</w:t>
      </w:r>
      <w:r>
        <w:rPr>
          <w:rFonts w:ascii="Georgia" w:hAnsi="Georgia"/>
          <w:b/>
        </w:rPr>
        <w:t>6</w:t>
      </w:r>
      <w:r w:rsidR="00EB717D" w:rsidRPr="000B22AD">
        <w:rPr>
          <w:rFonts w:ascii="Georgia" w:hAnsi="Georgia"/>
          <w:b/>
        </w:rPr>
        <w:t xml:space="preserve"> –</w:t>
      </w:r>
      <w:r w:rsidR="00EB717D" w:rsidRPr="000B22AD">
        <w:rPr>
          <w:rFonts w:ascii="Georgia" w:hAnsi="Georgia"/>
        </w:rPr>
        <w:t xml:space="preserve"> </w:t>
      </w:r>
      <w:r w:rsidR="000B6815">
        <w:rPr>
          <w:rFonts w:ascii="Georgia" w:hAnsi="Georgia"/>
        </w:rPr>
        <w:t>Yesterday</w:t>
      </w:r>
      <w:r w:rsidR="004C6E17">
        <w:rPr>
          <w:rFonts w:ascii="Georgia" w:hAnsi="Georgia"/>
        </w:rPr>
        <w:t>,</w:t>
      </w:r>
      <w:r w:rsidR="00B5602C" w:rsidRPr="000B22AD">
        <w:rPr>
          <w:rFonts w:ascii="Georgia" w:hAnsi="Georgia"/>
        </w:rPr>
        <w:t xml:space="preserve"> t</w:t>
      </w:r>
      <w:r w:rsidR="00EB717D" w:rsidRPr="000B22AD">
        <w:rPr>
          <w:rFonts w:ascii="Georgia" w:hAnsi="Georgia"/>
        </w:rPr>
        <w:t>he Florida Trust for Historic Preservation announced the 20</w:t>
      </w:r>
      <w:r w:rsidR="00FD3156" w:rsidRPr="000B22AD">
        <w:rPr>
          <w:rFonts w:ascii="Georgia" w:hAnsi="Georgia"/>
        </w:rPr>
        <w:t>2</w:t>
      </w:r>
      <w:r>
        <w:rPr>
          <w:rFonts w:ascii="Georgia" w:hAnsi="Georgia"/>
        </w:rPr>
        <w:t>6</w:t>
      </w:r>
      <w:r w:rsidR="00EB717D" w:rsidRPr="000B22AD">
        <w:rPr>
          <w:rFonts w:ascii="Georgia" w:hAnsi="Georgia"/>
        </w:rPr>
        <w:t xml:space="preserve"> Florida’s 11 to Save, </w:t>
      </w:r>
      <w:r w:rsidR="008A076B">
        <w:rPr>
          <w:rFonts w:ascii="Georgia" w:hAnsi="Georgia"/>
        </w:rPr>
        <w:t>a list of</w:t>
      </w:r>
      <w:r w:rsidR="00EB717D" w:rsidRPr="000B22AD">
        <w:rPr>
          <w:rFonts w:ascii="Georgia" w:hAnsi="Georgia"/>
        </w:rPr>
        <w:t xml:space="preserve"> threatened historic </w:t>
      </w:r>
      <w:r w:rsidR="00ED1BE8">
        <w:rPr>
          <w:rFonts w:ascii="Georgia" w:hAnsi="Georgia"/>
        </w:rPr>
        <w:t>places</w:t>
      </w:r>
      <w:r w:rsidR="00ED1BE8" w:rsidRPr="000B22AD">
        <w:rPr>
          <w:rFonts w:ascii="Georgia" w:hAnsi="Georgia"/>
        </w:rPr>
        <w:t xml:space="preserve"> </w:t>
      </w:r>
      <w:r w:rsidR="00EB717D" w:rsidRPr="000B22AD">
        <w:rPr>
          <w:rFonts w:ascii="Georgia" w:hAnsi="Georgia"/>
        </w:rPr>
        <w:t xml:space="preserve">in the state, at </w:t>
      </w:r>
      <w:r w:rsidR="001B0F8B" w:rsidRPr="000B22AD">
        <w:rPr>
          <w:rFonts w:ascii="Georgia" w:hAnsi="Georgia"/>
        </w:rPr>
        <w:t xml:space="preserve">the </w:t>
      </w:r>
      <w:r>
        <w:rPr>
          <w:rFonts w:ascii="Georgia" w:hAnsi="Georgia"/>
        </w:rPr>
        <w:t>Preserve Florida 2026</w:t>
      </w:r>
      <w:r w:rsidR="001B0F8B" w:rsidRPr="000A241F">
        <w:rPr>
          <w:rFonts w:ascii="Georgia" w:hAnsi="Georgia"/>
          <w:i/>
          <w:iCs/>
        </w:rPr>
        <w:t xml:space="preserve"> </w:t>
      </w:r>
      <w:r w:rsidR="000A241F">
        <w:rPr>
          <w:rFonts w:ascii="Georgia" w:hAnsi="Georgia"/>
        </w:rPr>
        <w:t>c</w:t>
      </w:r>
      <w:r w:rsidR="001B0F8B" w:rsidRPr="000A241F">
        <w:rPr>
          <w:rFonts w:ascii="Georgia" w:hAnsi="Georgia"/>
        </w:rPr>
        <w:t>onference</w:t>
      </w:r>
      <w:r w:rsidR="000A241F">
        <w:rPr>
          <w:rFonts w:ascii="Georgia" w:hAnsi="Georgia"/>
        </w:rPr>
        <w:t xml:space="preserve"> hosted</w:t>
      </w:r>
      <w:r w:rsidR="001B0F8B" w:rsidRPr="000B22AD">
        <w:rPr>
          <w:rFonts w:ascii="Georgia" w:hAnsi="Georgia"/>
        </w:rPr>
        <w:t xml:space="preserve"> </w:t>
      </w:r>
      <w:r>
        <w:rPr>
          <w:rFonts w:ascii="Georgia" w:hAnsi="Georgia"/>
        </w:rPr>
        <w:t>in St. Petersburg, FL</w:t>
      </w:r>
      <w:r w:rsidR="000B6815">
        <w:rPr>
          <w:rFonts w:ascii="Georgia" w:hAnsi="Georgia"/>
        </w:rPr>
        <w:t xml:space="preserve">. </w:t>
      </w:r>
    </w:p>
    <w:p w14:paraId="44532D49" w14:textId="77777777" w:rsidR="000A241F" w:rsidRPr="000B22AD" w:rsidRDefault="000A241F" w:rsidP="001B0499">
      <w:pPr>
        <w:spacing w:after="0" w:line="240" w:lineRule="auto"/>
        <w:rPr>
          <w:rFonts w:ascii="Georgia" w:hAnsi="Georgia"/>
        </w:rPr>
      </w:pPr>
    </w:p>
    <w:p w14:paraId="3991059A" w14:textId="6EC78C10" w:rsidR="000A241F" w:rsidRPr="004F7347" w:rsidRDefault="000A241F" w:rsidP="000A241F">
      <w:pPr>
        <w:spacing w:after="0" w:line="240" w:lineRule="auto"/>
        <w:rPr>
          <w:rFonts w:ascii="Georgia" w:hAnsi="Georgia"/>
        </w:rPr>
      </w:pPr>
      <w:r w:rsidRPr="000B22AD">
        <w:rPr>
          <w:rFonts w:ascii="Georgia" w:hAnsi="Georgia"/>
        </w:rPr>
        <w:t xml:space="preserve">Each year, the Florida Trust announces its 11 </w:t>
      </w:r>
      <w:proofErr w:type="gramStart"/>
      <w:r w:rsidRPr="000B22AD">
        <w:rPr>
          <w:rFonts w:ascii="Georgia" w:hAnsi="Georgia"/>
        </w:rPr>
        <w:t>to Save</w:t>
      </w:r>
      <w:proofErr w:type="gramEnd"/>
      <w:r w:rsidR="00101C44">
        <w:rPr>
          <w:rFonts w:ascii="Georgia" w:hAnsi="Georgia"/>
        </w:rPr>
        <w:t xml:space="preserve"> sites, which are</w:t>
      </w:r>
      <w:r w:rsidR="00C55267">
        <w:rPr>
          <w:rFonts w:ascii="Georgia" w:hAnsi="Georgia"/>
        </w:rPr>
        <w:t xml:space="preserve"> </w:t>
      </w:r>
      <w:r w:rsidR="00ED1BE8">
        <w:rPr>
          <w:rFonts w:ascii="Georgia" w:hAnsi="Georgia"/>
        </w:rPr>
        <w:t>nominated</w:t>
      </w:r>
      <w:r w:rsidR="00C55267">
        <w:rPr>
          <w:rFonts w:ascii="Georgia" w:hAnsi="Georgia"/>
        </w:rPr>
        <w:t xml:space="preserve"> by the public</w:t>
      </w:r>
      <w:r w:rsidR="00D27980">
        <w:rPr>
          <w:rFonts w:ascii="Georgia" w:hAnsi="Georgia"/>
        </w:rPr>
        <w:t xml:space="preserve"> and</w:t>
      </w:r>
      <w:r w:rsidR="00101C44">
        <w:rPr>
          <w:rFonts w:ascii="Georgia" w:hAnsi="Georgia"/>
        </w:rPr>
        <w:t xml:space="preserve"> </w:t>
      </w:r>
      <w:r w:rsidR="00D27980">
        <w:rPr>
          <w:rFonts w:ascii="Georgia" w:hAnsi="Georgia"/>
        </w:rPr>
        <w:t xml:space="preserve">reflect the historic places that matter to </w:t>
      </w:r>
      <w:r w:rsidR="00473683">
        <w:rPr>
          <w:rFonts w:ascii="Georgia" w:hAnsi="Georgia"/>
        </w:rPr>
        <w:t>local communities</w:t>
      </w:r>
      <w:r w:rsidRPr="000B22AD">
        <w:rPr>
          <w:rFonts w:ascii="Georgia" w:hAnsi="Georgia"/>
        </w:rPr>
        <w:t xml:space="preserve">. The program </w:t>
      </w:r>
      <w:r w:rsidRPr="004F7347">
        <w:rPr>
          <w:rFonts w:ascii="Georgia" w:hAnsi="Georgia"/>
        </w:rPr>
        <w:t>is designed to increase the public’s awareness of the urgent need to save Florida’s historic resources,</w:t>
      </w:r>
      <w:r w:rsidR="00D27980">
        <w:rPr>
          <w:rFonts w:ascii="Georgia" w:hAnsi="Georgia"/>
        </w:rPr>
        <w:t xml:space="preserve"> highlight the breadth of Florida’s unique history, inspire unique collaborations</w:t>
      </w:r>
      <w:r w:rsidRPr="004F7347">
        <w:rPr>
          <w:rFonts w:ascii="Georgia" w:hAnsi="Georgia"/>
        </w:rPr>
        <w:t xml:space="preserve"> and empower local preservationists and </w:t>
      </w:r>
      <w:r w:rsidR="00D27980">
        <w:rPr>
          <w:rFonts w:ascii="Georgia" w:hAnsi="Georgia"/>
        </w:rPr>
        <w:t>community</w:t>
      </w:r>
      <w:r w:rsidRPr="004F7347">
        <w:rPr>
          <w:rFonts w:ascii="Georgia" w:hAnsi="Georgia"/>
        </w:rPr>
        <w:t xml:space="preserve"> groups </w:t>
      </w:r>
      <w:r w:rsidR="00D27980">
        <w:rPr>
          <w:rFonts w:ascii="Georgia" w:hAnsi="Georgia"/>
        </w:rPr>
        <w:t xml:space="preserve">in their work </w:t>
      </w:r>
      <w:r w:rsidRPr="004F7347">
        <w:rPr>
          <w:rFonts w:ascii="Georgia" w:hAnsi="Georgia"/>
        </w:rPr>
        <w:t>to preserve Florida’s rich history.</w:t>
      </w:r>
    </w:p>
    <w:p w14:paraId="35A8F081" w14:textId="77777777" w:rsidR="00BC3927" w:rsidRDefault="00BC3927" w:rsidP="004435B7">
      <w:pPr>
        <w:spacing w:after="0" w:line="240" w:lineRule="auto"/>
        <w:rPr>
          <w:rFonts w:ascii="Georgia" w:hAnsi="Georgia"/>
          <w:color w:val="000000"/>
        </w:rPr>
      </w:pPr>
    </w:p>
    <w:p w14:paraId="24593568" w14:textId="77777777" w:rsidR="00BC3927" w:rsidRDefault="00BC3927" w:rsidP="004435B7">
      <w:pPr>
        <w:spacing w:after="0" w:line="240" w:lineRule="auto"/>
        <w:rPr>
          <w:rFonts w:ascii="Georgia" w:hAnsi="Georgia"/>
        </w:rPr>
      </w:pPr>
      <w:r>
        <w:rPr>
          <w:rFonts w:ascii="Georgia" w:hAnsi="Georgia"/>
          <w:color w:val="000000"/>
        </w:rPr>
        <w:t>The 2026 11 to Save represents endangered historic resources in Duval, Hamilton, Hendry, Hillsborough, Martin, Miami-Dade, Orange, Pinellas, Putnam and St. Johns counties, covering hundreds of years of history and a variety of cultural resources.</w:t>
      </w:r>
      <w:r w:rsidRPr="00101C44">
        <w:rPr>
          <w:rFonts w:ascii="Georgia" w:hAnsi="Georgia"/>
        </w:rPr>
        <w:t xml:space="preserve"> </w:t>
      </w:r>
    </w:p>
    <w:p w14:paraId="195EAC24" w14:textId="77777777" w:rsidR="00BC3927" w:rsidRDefault="00BC3927" w:rsidP="004435B7">
      <w:pPr>
        <w:spacing w:after="0" w:line="240" w:lineRule="auto"/>
        <w:rPr>
          <w:rFonts w:ascii="Georgia" w:hAnsi="Georgia"/>
        </w:rPr>
      </w:pPr>
    </w:p>
    <w:p w14:paraId="04E94BF1" w14:textId="77777777" w:rsidR="00BC3927" w:rsidRPr="00BC3927" w:rsidRDefault="00BC3927" w:rsidP="00BC3927">
      <w:pPr>
        <w:spacing w:after="0" w:line="240" w:lineRule="auto"/>
        <w:ind w:right="391"/>
        <w:rPr>
          <w:rFonts w:ascii="Times New Roman" w:eastAsia="Times New Roman" w:hAnsi="Times New Roman" w:cs="Times New Roman"/>
          <w:sz w:val="24"/>
          <w:szCs w:val="24"/>
        </w:rPr>
      </w:pPr>
      <w:r w:rsidRPr="00BC3927">
        <w:rPr>
          <w:rFonts w:ascii="Georgia" w:eastAsia="Times New Roman" w:hAnsi="Georgia" w:cs="Times New Roman"/>
          <w:color w:val="000000"/>
        </w:rPr>
        <w:t>“Every year, Florida’s 11 to Save program gives a voice to historic places that are at a critical crossroads. From neighborhood landmarks to cultural institutions, these sites embody the unique character of Florida’s communities," said Florida Trust Board President Ennis Davis. "Their inclusion on this list is both a call to action and an opportunity to rally support for preservation solutions that honor our past while strengthening our future.”</w:t>
      </w:r>
    </w:p>
    <w:p w14:paraId="413FC78B" w14:textId="77777777" w:rsidR="00BC3927" w:rsidRDefault="00BC3927" w:rsidP="004435B7">
      <w:pPr>
        <w:spacing w:after="0" w:line="240" w:lineRule="auto"/>
        <w:rPr>
          <w:rFonts w:ascii="Georgia" w:hAnsi="Georgia"/>
        </w:rPr>
      </w:pPr>
    </w:p>
    <w:p w14:paraId="3DD751B2" w14:textId="4D3D3C51" w:rsidR="000B22AD" w:rsidRPr="00C359E2" w:rsidRDefault="00B5602C" w:rsidP="004435B7">
      <w:pPr>
        <w:spacing w:after="0" w:line="240" w:lineRule="auto"/>
        <w:rPr>
          <w:rFonts w:ascii="Georgia" w:hAnsi="Georgia"/>
        </w:rPr>
      </w:pPr>
      <w:r w:rsidRPr="004F7347">
        <w:rPr>
          <w:rFonts w:ascii="Georgia" w:hAnsi="Georgia"/>
        </w:rPr>
        <w:t xml:space="preserve">Inclusion </w:t>
      </w:r>
      <w:r w:rsidR="00101C44">
        <w:rPr>
          <w:rFonts w:ascii="Georgia" w:hAnsi="Georgia"/>
        </w:rPr>
        <w:t>i</w:t>
      </w:r>
      <w:r w:rsidRPr="004F7347">
        <w:rPr>
          <w:rFonts w:ascii="Georgia" w:hAnsi="Georgia"/>
        </w:rPr>
        <w:t xml:space="preserve">n </w:t>
      </w:r>
      <w:r w:rsidR="00932167" w:rsidRPr="004F7347">
        <w:rPr>
          <w:rFonts w:ascii="Georgia" w:hAnsi="Georgia"/>
        </w:rPr>
        <w:t>Florida’s</w:t>
      </w:r>
      <w:r w:rsidRPr="004F7347">
        <w:rPr>
          <w:rFonts w:ascii="Georgia" w:hAnsi="Georgia"/>
        </w:rPr>
        <w:t xml:space="preserve"> 11 to Save is a starting point for the Florida Trust’s advocacy and education </w:t>
      </w:r>
      <w:r w:rsidR="00C26BF6" w:rsidRPr="004F7347">
        <w:rPr>
          <w:rFonts w:ascii="Georgia" w:hAnsi="Georgia"/>
        </w:rPr>
        <w:t>efforts and</w:t>
      </w:r>
      <w:r w:rsidRPr="004F7347">
        <w:rPr>
          <w:rFonts w:ascii="Georgia" w:hAnsi="Georgia"/>
        </w:rPr>
        <w:t xml:space="preserve"> </w:t>
      </w:r>
      <w:r>
        <w:rPr>
          <w:rFonts w:ascii="Georgia" w:hAnsi="Georgia"/>
        </w:rPr>
        <w:t>is</w:t>
      </w:r>
      <w:r w:rsidRPr="004F7347">
        <w:rPr>
          <w:rFonts w:ascii="Georgia" w:hAnsi="Georgia"/>
        </w:rPr>
        <w:t xml:space="preserve"> intended to be part of a collaborative effort to identify custom solutions for each property. Listings are not in any order of importance.</w:t>
      </w:r>
    </w:p>
    <w:p w14:paraId="7EB527A6" w14:textId="77777777" w:rsidR="00524D9F" w:rsidRDefault="00524D9F">
      <w:pPr>
        <w:rPr>
          <w:rFonts w:ascii="Georgia" w:hAnsi="Georgia"/>
          <w:b/>
          <w:noProof/>
        </w:rPr>
      </w:pPr>
      <w:r>
        <w:rPr>
          <w:rFonts w:ascii="Georgia" w:hAnsi="Georgia"/>
          <w:b/>
          <w:noProof/>
        </w:rPr>
        <w:br w:type="page"/>
      </w:r>
    </w:p>
    <w:p w14:paraId="3722CBAB" w14:textId="77777777" w:rsidR="00270E3C" w:rsidRDefault="00270E3C" w:rsidP="004435B7">
      <w:pPr>
        <w:spacing w:after="0" w:line="240" w:lineRule="auto"/>
        <w:rPr>
          <w:rFonts w:ascii="Georgia" w:hAnsi="Georgia"/>
          <w:b/>
          <w:noProof/>
        </w:rPr>
      </w:pPr>
    </w:p>
    <w:p w14:paraId="6DF09BF1" w14:textId="7F814043" w:rsidR="00BC3927" w:rsidRPr="00BC3927" w:rsidRDefault="00BC3927" w:rsidP="00BC3927">
      <w:pPr>
        <w:spacing w:after="0" w:line="240" w:lineRule="auto"/>
        <w:ind w:right="3590"/>
        <w:outlineLvl w:val="1"/>
        <w:rPr>
          <w:rFonts w:ascii="Times New Roman" w:eastAsia="Times New Roman" w:hAnsi="Times New Roman" w:cs="Times New Roman"/>
          <w:b/>
          <w:bCs/>
          <w:sz w:val="36"/>
          <w:szCs w:val="36"/>
        </w:rPr>
      </w:pPr>
      <w:r w:rsidRPr="00BC3927">
        <w:rPr>
          <w:rFonts w:ascii="Georgia" w:eastAsia="Times New Roman" w:hAnsi="Georgia" w:cs="Times New Roman"/>
          <w:b/>
          <w:bCs/>
          <w:color w:val="000000"/>
        </w:rPr>
        <w:t>Ace Theat</w:t>
      </w:r>
      <w:r w:rsidR="00C14D34">
        <w:rPr>
          <w:rFonts w:ascii="Georgia" w:eastAsia="Times New Roman" w:hAnsi="Georgia" w:cs="Times New Roman"/>
          <w:b/>
          <w:bCs/>
          <w:color w:val="000000"/>
        </w:rPr>
        <w:t>re</w:t>
      </w:r>
    </w:p>
    <w:p w14:paraId="429B6496" w14:textId="77777777" w:rsidR="00BC3927" w:rsidRPr="00BC3927" w:rsidRDefault="00BC3927" w:rsidP="00BC3927">
      <w:pPr>
        <w:spacing w:after="0" w:line="240" w:lineRule="auto"/>
        <w:ind w:right="3590"/>
        <w:outlineLvl w:val="1"/>
        <w:rPr>
          <w:rFonts w:ascii="Times New Roman" w:eastAsia="Times New Roman" w:hAnsi="Times New Roman" w:cs="Times New Roman"/>
          <w:b/>
          <w:bCs/>
          <w:sz w:val="36"/>
          <w:szCs w:val="36"/>
        </w:rPr>
      </w:pPr>
      <w:r w:rsidRPr="00BC3927">
        <w:rPr>
          <w:rFonts w:ascii="Georgia" w:eastAsia="Times New Roman" w:hAnsi="Georgia" w:cs="Times New Roman"/>
          <w:b/>
          <w:bCs/>
          <w:color w:val="000000"/>
        </w:rPr>
        <w:t>Miami, Miami-Dade County</w:t>
      </w:r>
    </w:p>
    <w:p w14:paraId="6AB9E24B" w14:textId="7C38F363" w:rsidR="00BC3927" w:rsidRDefault="00BC3927" w:rsidP="00BC3927">
      <w:pPr>
        <w:spacing w:after="0" w:line="240" w:lineRule="auto"/>
        <w:outlineLvl w:val="2"/>
        <w:rPr>
          <w:rFonts w:ascii="Times New Roman" w:eastAsia="Times New Roman" w:hAnsi="Times New Roman" w:cs="Times New Roman"/>
          <w:b/>
          <w:bCs/>
          <w:sz w:val="27"/>
          <w:szCs w:val="27"/>
        </w:rPr>
      </w:pPr>
      <w:r w:rsidRPr="00BC3927">
        <w:rPr>
          <w:rFonts w:ascii="Georgia" w:eastAsia="Times New Roman" w:hAnsi="Georgia" w:cs="Times New Roman"/>
          <w:b/>
          <w:bCs/>
          <w:i/>
          <w:iCs/>
          <w:color w:val="000000"/>
        </w:rPr>
        <w:t>Built 1930</w:t>
      </w:r>
    </w:p>
    <w:p w14:paraId="74E70566" w14:textId="77777777" w:rsidR="00BC3927" w:rsidRPr="00BC3927" w:rsidRDefault="00BC3927" w:rsidP="00BC3927">
      <w:pPr>
        <w:spacing w:after="0" w:line="240" w:lineRule="auto"/>
        <w:outlineLvl w:val="2"/>
        <w:rPr>
          <w:rFonts w:ascii="Times New Roman" w:eastAsia="Times New Roman" w:hAnsi="Times New Roman" w:cs="Times New Roman"/>
          <w:b/>
          <w:bCs/>
          <w:sz w:val="27"/>
          <w:szCs w:val="27"/>
        </w:rPr>
      </w:pPr>
    </w:p>
    <w:p w14:paraId="3B5F27AB" w14:textId="23C1C609" w:rsidR="00353918" w:rsidRPr="00C14D34" w:rsidRDefault="007B0C1E" w:rsidP="00353918">
      <w:pPr>
        <w:rPr>
          <w:rFonts w:ascii="Georgia" w:hAnsi="Georgia"/>
          <w:color w:val="000000"/>
        </w:rPr>
      </w:pPr>
      <w:r w:rsidRPr="000B22AD">
        <w:rPr>
          <w:rFonts w:ascii="Georgia" w:hAnsi="Georgia"/>
          <w:b/>
          <w:noProof/>
        </w:rPr>
        <w:drawing>
          <wp:anchor distT="0" distB="0" distL="114300" distR="114300" simplePos="0" relativeHeight="251658240" behindDoc="1" locked="0" layoutInCell="1" allowOverlap="1" wp14:anchorId="76283A9D" wp14:editId="08B5C343">
            <wp:simplePos x="0" y="0"/>
            <wp:positionH relativeFrom="margin">
              <wp:posOffset>47625</wp:posOffset>
            </wp:positionH>
            <wp:positionV relativeFrom="paragraph">
              <wp:posOffset>34290</wp:posOffset>
            </wp:positionV>
            <wp:extent cx="2458085" cy="15741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8085" cy="1574165"/>
                    </a:xfrm>
                    <a:prstGeom prst="rect">
                      <a:avLst/>
                    </a:prstGeom>
                  </pic:spPr>
                </pic:pic>
              </a:graphicData>
            </a:graphic>
            <wp14:sizeRelH relativeFrom="margin">
              <wp14:pctWidth>0</wp14:pctWidth>
            </wp14:sizeRelH>
            <wp14:sizeRelV relativeFrom="margin">
              <wp14:pctHeight>0</wp14:pctHeight>
            </wp14:sizeRelV>
          </wp:anchor>
        </w:drawing>
      </w:r>
      <w:r w:rsidR="00C14D34">
        <w:rPr>
          <w:rFonts w:ascii="Georgia" w:hAnsi="Georgia"/>
          <w:color w:val="000000"/>
        </w:rPr>
        <w:t>The Ace Theat</w:t>
      </w:r>
      <w:r w:rsidR="00C14D34">
        <w:rPr>
          <w:rFonts w:ascii="Georgia" w:hAnsi="Georgia"/>
          <w:color w:val="000000"/>
        </w:rPr>
        <w:t>re</w:t>
      </w:r>
      <w:r w:rsidR="00C14D34">
        <w:rPr>
          <w:rFonts w:ascii="Georgia" w:hAnsi="Georgia"/>
          <w:color w:val="000000"/>
        </w:rPr>
        <w:t xml:space="preserve"> is one of the last surviving landmarks of Miami’s historic </w:t>
      </w:r>
      <w:r w:rsidR="00C14D34">
        <w:rPr>
          <w:rFonts w:ascii="Georgia" w:hAnsi="Georgia"/>
          <w:color w:val="000000"/>
        </w:rPr>
        <w:t xml:space="preserve">Black </w:t>
      </w:r>
      <w:r w:rsidR="00C14D34">
        <w:rPr>
          <w:rFonts w:ascii="Georgia" w:hAnsi="Georgia"/>
          <w:color w:val="000000"/>
        </w:rPr>
        <w:t>Grove</w:t>
      </w:r>
      <w:r w:rsidR="00C14D34">
        <w:rPr>
          <w:rFonts w:ascii="Georgia" w:hAnsi="Georgia"/>
          <w:color w:val="000000"/>
        </w:rPr>
        <w:t xml:space="preserve"> community, also known as West Grove or Little Bahamas, that was founded in the late 19</w:t>
      </w:r>
      <w:r w:rsidR="00C14D34" w:rsidRPr="00C14D34">
        <w:rPr>
          <w:rFonts w:ascii="Georgia" w:hAnsi="Georgia"/>
          <w:color w:val="000000"/>
          <w:vertAlign w:val="superscript"/>
        </w:rPr>
        <w:t>th</w:t>
      </w:r>
      <w:r w:rsidR="00C14D34">
        <w:rPr>
          <w:rFonts w:ascii="Georgia" w:hAnsi="Georgia"/>
          <w:color w:val="000000"/>
        </w:rPr>
        <w:t xml:space="preserve"> century by Bahamian settlers. Built in 19</w:t>
      </w:r>
      <w:r w:rsidR="004868CD">
        <w:rPr>
          <w:rFonts w:ascii="Georgia" w:hAnsi="Georgia"/>
          <w:color w:val="000000"/>
        </w:rPr>
        <w:t>30</w:t>
      </w:r>
      <w:r w:rsidR="00C14D34">
        <w:rPr>
          <w:rFonts w:ascii="Georgia" w:hAnsi="Georgia"/>
          <w:color w:val="000000"/>
        </w:rPr>
        <w:t xml:space="preserve">, the theatre served as </w:t>
      </w:r>
      <w:r w:rsidR="008D7FC1">
        <w:rPr>
          <w:rFonts w:ascii="Georgia" w:hAnsi="Georgia"/>
          <w:color w:val="000000"/>
        </w:rPr>
        <w:t>the</w:t>
      </w:r>
      <w:r w:rsidR="00C14D34">
        <w:rPr>
          <w:rFonts w:ascii="Georgia" w:hAnsi="Georgia"/>
          <w:color w:val="000000"/>
        </w:rPr>
        <w:t xml:space="preserve"> place for African American moviegoers in the Coconut Grove community during segregation, often running stage shows along with films.</w:t>
      </w:r>
      <w:r w:rsidR="00C14D34">
        <w:rPr>
          <w:rFonts w:ascii="Georgia" w:hAnsi="Georgia"/>
          <w:color w:val="000000"/>
        </w:rPr>
        <w:t xml:space="preserve"> </w:t>
      </w:r>
    </w:p>
    <w:p w14:paraId="1CB55635" w14:textId="49606877" w:rsidR="008A1ED4" w:rsidRPr="0069421D" w:rsidRDefault="00353918" w:rsidP="0069421D">
      <w:pPr>
        <w:rPr>
          <w:rFonts w:ascii="Georgia" w:hAnsi="Georgia"/>
        </w:rPr>
      </w:pPr>
      <w:r w:rsidRPr="00353918">
        <w:rPr>
          <w:rFonts w:ascii="Georgia" w:hAnsi="Georgia"/>
        </w:rPr>
        <w:t xml:space="preserve">Although listed on the National Register of Historic Places in </w:t>
      </w:r>
      <w:r w:rsidR="00C14D34">
        <w:rPr>
          <w:rFonts w:ascii="Georgia" w:hAnsi="Georgia"/>
        </w:rPr>
        <w:t>2016</w:t>
      </w:r>
      <w:r w:rsidRPr="00353918">
        <w:rPr>
          <w:rFonts w:ascii="Georgia" w:hAnsi="Georgia"/>
        </w:rPr>
        <w:t xml:space="preserve">, </w:t>
      </w:r>
      <w:r w:rsidR="00C14D34">
        <w:rPr>
          <w:rFonts w:ascii="Georgia" w:hAnsi="Georgia"/>
        </w:rPr>
        <w:t>the Ace Theatre is threatened by a combination of advanced physical deterioration and external development pressures that put its long-term survival at risk.</w:t>
      </w:r>
      <w:r w:rsidR="008D7FC1">
        <w:rPr>
          <w:rFonts w:ascii="Georgia" w:hAnsi="Georgia"/>
        </w:rPr>
        <w:t xml:space="preserve"> </w:t>
      </w:r>
      <w:r w:rsidRPr="00353918">
        <w:rPr>
          <w:rFonts w:ascii="Georgia" w:hAnsi="Georgia"/>
        </w:rPr>
        <w:t>Located in one of Florida’s</w:t>
      </w:r>
      <w:r w:rsidR="008D7FC1">
        <w:rPr>
          <w:rFonts w:ascii="Georgia" w:hAnsi="Georgia"/>
        </w:rPr>
        <w:t xml:space="preserve"> recently designated Main Street Programs</w:t>
      </w:r>
      <w:r w:rsidRPr="00353918">
        <w:rPr>
          <w:rFonts w:ascii="Georgia" w:hAnsi="Georgia"/>
        </w:rPr>
        <w:t xml:space="preserve">, inclusion on this year’s 11 to Save list is critical to raising awareness and building </w:t>
      </w:r>
      <w:r w:rsidR="008D7FC1" w:rsidRPr="00353918">
        <w:rPr>
          <w:rFonts w:ascii="Georgia" w:hAnsi="Georgia"/>
        </w:rPr>
        <w:t>support</w:t>
      </w:r>
      <w:r w:rsidRPr="00353918">
        <w:rPr>
          <w:rFonts w:ascii="Georgia" w:hAnsi="Georgia"/>
        </w:rPr>
        <w:t xml:space="preserve"> </w:t>
      </w:r>
      <w:r w:rsidR="00C14D34">
        <w:rPr>
          <w:rFonts w:ascii="Georgia" w:hAnsi="Georgia"/>
        </w:rPr>
        <w:t>for timely preservation action to save an irreplaceable piece of the community’s history</w:t>
      </w:r>
      <w:r w:rsidRPr="00353918">
        <w:rPr>
          <w:rFonts w:ascii="Georgia" w:hAnsi="Georgia"/>
        </w:rPr>
        <w:t>.</w:t>
      </w:r>
    </w:p>
    <w:p w14:paraId="18614E89" w14:textId="388EBB62" w:rsidR="00527ACC" w:rsidRPr="00C359E2" w:rsidRDefault="008D7FC1" w:rsidP="00473683">
      <w:pPr>
        <w:spacing w:before="240" w:after="0" w:line="240" w:lineRule="auto"/>
        <w:rPr>
          <w:rFonts w:ascii="Georgia" w:hAnsi="Georgia"/>
          <w:b/>
        </w:rPr>
      </w:pPr>
      <w:r>
        <w:rPr>
          <w:rFonts w:ascii="Georgia" w:hAnsi="Georgia"/>
          <w:b/>
        </w:rPr>
        <w:t>Capt. Francis A. Hendry House</w:t>
      </w:r>
    </w:p>
    <w:p w14:paraId="680EAC98" w14:textId="564F8DF6" w:rsidR="00527ACC" w:rsidRPr="00C359E2" w:rsidRDefault="008D7FC1" w:rsidP="00527ACC">
      <w:pPr>
        <w:spacing w:after="0" w:line="240" w:lineRule="auto"/>
        <w:rPr>
          <w:rFonts w:ascii="Georgia" w:hAnsi="Georgia"/>
          <w:b/>
        </w:rPr>
      </w:pPr>
      <w:r>
        <w:rPr>
          <w:rFonts w:ascii="Georgia" w:hAnsi="Georgia"/>
          <w:b/>
        </w:rPr>
        <w:t>Labelle, Hendry County</w:t>
      </w:r>
    </w:p>
    <w:p w14:paraId="1600205C" w14:textId="458F97A4" w:rsidR="00527ACC" w:rsidRPr="00C359E2" w:rsidRDefault="00094CCA" w:rsidP="00527ACC">
      <w:pPr>
        <w:spacing w:after="0" w:line="240" w:lineRule="auto"/>
        <w:rPr>
          <w:rFonts w:ascii="Georgia" w:hAnsi="Georgia"/>
          <w:b/>
          <w:i/>
        </w:rPr>
      </w:pPr>
      <w:r>
        <w:rPr>
          <w:rFonts w:ascii="Georgia" w:hAnsi="Georgia"/>
          <w:b/>
          <w:i/>
        </w:rPr>
        <w:t>Built</w:t>
      </w:r>
      <w:r w:rsidR="00527ACC">
        <w:rPr>
          <w:rFonts w:ascii="Georgia" w:hAnsi="Georgia"/>
          <w:b/>
          <w:i/>
        </w:rPr>
        <w:t xml:space="preserve"> 1</w:t>
      </w:r>
      <w:r w:rsidR="00832AC8">
        <w:rPr>
          <w:rFonts w:ascii="Georgia" w:hAnsi="Georgia"/>
          <w:b/>
          <w:i/>
        </w:rPr>
        <w:t>9</w:t>
      </w:r>
      <w:r w:rsidR="008D7FC1">
        <w:rPr>
          <w:rFonts w:ascii="Georgia" w:hAnsi="Georgia"/>
          <w:b/>
          <w:i/>
        </w:rPr>
        <w:t>14</w:t>
      </w:r>
    </w:p>
    <w:p w14:paraId="4DDBF24C" w14:textId="517C01AE" w:rsidR="000D54FE" w:rsidRDefault="000D54FE" w:rsidP="00527ACC">
      <w:pPr>
        <w:spacing w:after="0" w:line="240" w:lineRule="auto"/>
        <w:rPr>
          <w:rFonts w:ascii="Georgia" w:hAnsi="Georgia"/>
          <w:b/>
          <w:noProof/>
        </w:rPr>
      </w:pPr>
    </w:p>
    <w:p w14:paraId="1B63DD8C" w14:textId="21E534E3" w:rsidR="00353918" w:rsidRPr="00353918" w:rsidRDefault="007B0C1E" w:rsidP="00353918">
      <w:pPr>
        <w:spacing w:after="0" w:line="240" w:lineRule="auto"/>
        <w:rPr>
          <w:rFonts w:ascii="Georgia" w:hAnsi="Georgia"/>
        </w:rPr>
      </w:pPr>
      <w:r w:rsidRPr="00C359E2">
        <w:rPr>
          <w:rFonts w:ascii="Georgia" w:hAnsi="Georgia"/>
          <w:b/>
          <w:noProof/>
        </w:rPr>
        <w:drawing>
          <wp:anchor distT="0" distB="0" distL="114300" distR="114300" simplePos="0" relativeHeight="251661312" behindDoc="0" locked="0" layoutInCell="1" allowOverlap="1" wp14:anchorId="1EBF6186" wp14:editId="4BEE1C05">
            <wp:simplePos x="0" y="0"/>
            <wp:positionH relativeFrom="margin">
              <wp:align>left</wp:align>
            </wp:positionH>
            <wp:positionV relativeFrom="paragraph">
              <wp:posOffset>20320</wp:posOffset>
            </wp:positionV>
            <wp:extent cx="2506980" cy="1440815"/>
            <wp:effectExtent l="0" t="0" r="7620" b="6985"/>
            <wp:wrapTight wrapText="bothSides">
              <wp:wrapPolygon edited="0">
                <wp:start x="0" y="0"/>
                <wp:lineTo x="0" y="21419"/>
                <wp:lineTo x="21502" y="21419"/>
                <wp:lineTo x="2150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rcRect t="11659" b="11659"/>
                    <a:stretch>
                      <a:fillRect/>
                    </a:stretch>
                  </pic:blipFill>
                  <pic:spPr bwMode="auto">
                    <a:xfrm>
                      <a:off x="0" y="0"/>
                      <a:ext cx="2507184" cy="14413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 w:name="_Hlk109282174"/>
      <w:bookmarkStart w:id="2" w:name="_Hlk171086214"/>
      <w:r w:rsidR="008D7FC1">
        <w:rPr>
          <w:rFonts w:ascii="Georgia" w:hAnsi="Georgia"/>
          <w:color w:val="000000"/>
        </w:rPr>
        <w:t>The Francis A. Hendry House is a historic early 20th-century wood-frame residence located in LaBelle, Florida. Designed in a vernacular style typical of Southwest Florida pioneer homes, the structure features a raised foundation, wide porches and elements adapted to the region’s climate. The property reflects the character of early settlement in Hendry County and remains a prominent historic landmark associated with the county’s founding figure, Captain Francis A. Hendry.</w:t>
      </w:r>
    </w:p>
    <w:p w14:paraId="6137031E" w14:textId="77777777" w:rsidR="00353918" w:rsidRPr="00353918" w:rsidRDefault="00353918" w:rsidP="00353918">
      <w:pPr>
        <w:spacing w:after="0" w:line="240" w:lineRule="auto"/>
        <w:rPr>
          <w:rFonts w:ascii="Georgia" w:hAnsi="Georgia"/>
        </w:rPr>
      </w:pPr>
    </w:p>
    <w:p w14:paraId="4B2F21A5" w14:textId="375EBF4A" w:rsidR="00B3201F" w:rsidRPr="00B3201F" w:rsidRDefault="008D7FC1" w:rsidP="00353918">
      <w:pPr>
        <w:spacing w:after="0" w:line="240" w:lineRule="auto"/>
        <w:rPr>
          <w:rFonts w:ascii="Georgia" w:hAnsi="Georgia"/>
        </w:rPr>
      </w:pPr>
      <w:r>
        <w:rPr>
          <w:rFonts w:ascii="Georgia" w:hAnsi="Georgia"/>
          <w:color w:val="000000"/>
        </w:rPr>
        <w:t>Like many historic properties, the Francis A. Hendry House faces threats from age, environmental exposure and limited funding for maintenance and restoration. Deterioration of structural elements, vulnerability to Florida’s weather conditions and the high cost of preservation pose ongoing challenges. Additionally, development pressures and changing land use priorities in growing communities can place historic sites at risk of neglect, alteration or potential demolition if they are not actively protected and maintained. Without dedicated resources and attention, the long-term survival of the property is uncertain.</w:t>
      </w:r>
    </w:p>
    <w:p w14:paraId="5A6F83DB" w14:textId="77777777" w:rsidR="00B3201F" w:rsidRDefault="00B3201F" w:rsidP="00CC6C89">
      <w:pPr>
        <w:spacing w:after="0" w:line="240" w:lineRule="auto"/>
        <w:rPr>
          <w:rFonts w:ascii="Georgia" w:hAnsi="Georgia"/>
          <w:b/>
        </w:rPr>
      </w:pPr>
    </w:p>
    <w:p w14:paraId="58A14374" w14:textId="77777777" w:rsidR="00B3201F" w:rsidRDefault="00B3201F" w:rsidP="00CC6C89">
      <w:pPr>
        <w:spacing w:after="0" w:line="240" w:lineRule="auto"/>
        <w:rPr>
          <w:rFonts w:ascii="Georgia" w:hAnsi="Georgia"/>
          <w:b/>
        </w:rPr>
      </w:pPr>
    </w:p>
    <w:bookmarkEnd w:id="1"/>
    <w:bookmarkEnd w:id="2"/>
    <w:p w14:paraId="00588775" w14:textId="77777777" w:rsidR="008D7FC1" w:rsidRDefault="008D7FC1" w:rsidP="002B0EC9">
      <w:pPr>
        <w:tabs>
          <w:tab w:val="left" w:pos="2040"/>
        </w:tabs>
        <w:spacing w:after="0" w:line="240" w:lineRule="auto"/>
        <w:rPr>
          <w:rFonts w:ascii="Georgia" w:hAnsi="Georgia"/>
          <w:b/>
          <w:bCs/>
          <w:i/>
          <w:iCs/>
          <w:color w:val="000000"/>
        </w:rPr>
      </w:pPr>
      <w:r>
        <w:rPr>
          <w:rFonts w:ascii="Georgia" w:hAnsi="Georgia"/>
          <w:b/>
          <w:bCs/>
          <w:color w:val="000000"/>
        </w:rPr>
        <w:lastRenderedPageBreak/>
        <w:t>Egmont Key State Park</w:t>
      </w:r>
      <w:r>
        <w:rPr>
          <w:rFonts w:ascii="Georgia" w:hAnsi="Georgia"/>
          <w:b/>
          <w:bCs/>
          <w:color w:val="000000"/>
        </w:rPr>
        <w:br/>
        <w:t>Tampa, Hillsborough County</w:t>
      </w:r>
      <w:r>
        <w:rPr>
          <w:rFonts w:ascii="Georgia" w:hAnsi="Georgia"/>
          <w:b/>
          <w:bCs/>
          <w:color w:val="000000"/>
        </w:rPr>
        <w:br/>
      </w:r>
      <w:r>
        <w:rPr>
          <w:rFonts w:ascii="Georgia" w:hAnsi="Georgia"/>
          <w:b/>
          <w:bCs/>
          <w:i/>
          <w:iCs/>
          <w:color w:val="000000"/>
        </w:rPr>
        <w:t>Established 1974</w:t>
      </w:r>
    </w:p>
    <w:p w14:paraId="6EB9F301" w14:textId="2D99CCF4" w:rsidR="00CC6C89" w:rsidRPr="000B22AD" w:rsidRDefault="002B0EC9" w:rsidP="002B0EC9">
      <w:pPr>
        <w:tabs>
          <w:tab w:val="left" w:pos="2040"/>
        </w:tabs>
        <w:spacing w:after="0" w:line="240" w:lineRule="auto"/>
        <w:rPr>
          <w:rFonts w:ascii="Georgia" w:hAnsi="Georgia"/>
        </w:rPr>
      </w:pPr>
      <w:r>
        <w:rPr>
          <w:rFonts w:ascii="Georgia" w:hAnsi="Georgia"/>
        </w:rPr>
        <w:tab/>
      </w:r>
    </w:p>
    <w:p w14:paraId="059CC42B" w14:textId="77777777" w:rsidR="004868CD" w:rsidRDefault="007B0C1E" w:rsidP="004868CD">
      <w:pPr>
        <w:tabs>
          <w:tab w:val="left" w:pos="2040"/>
        </w:tabs>
        <w:spacing w:after="0" w:line="240" w:lineRule="auto"/>
        <w:rPr>
          <w:rFonts w:ascii="Georgia" w:hAnsi="Georgia"/>
          <w:bCs/>
        </w:rPr>
      </w:pPr>
      <w:r>
        <w:rPr>
          <w:rFonts w:ascii="Georgia" w:hAnsi="Georgia"/>
          <w:bCs/>
          <w:noProof/>
        </w:rPr>
        <w:drawing>
          <wp:anchor distT="0" distB="0" distL="114300" distR="114300" simplePos="0" relativeHeight="251658250" behindDoc="1" locked="0" layoutInCell="1" allowOverlap="1" wp14:anchorId="41229CF9" wp14:editId="65C183E7">
            <wp:simplePos x="0" y="0"/>
            <wp:positionH relativeFrom="margin">
              <wp:align>left</wp:align>
            </wp:positionH>
            <wp:positionV relativeFrom="paragraph">
              <wp:posOffset>44450</wp:posOffset>
            </wp:positionV>
            <wp:extent cx="2519680" cy="1735455"/>
            <wp:effectExtent l="0" t="0" r="0" b="0"/>
            <wp:wrapTight wrapText="bothSides">
              <wp:wrapPolygon edited="0">
                <wp:start x="0" y="0"/>
                <wp:lineTo x="0" y="21339"/>
                <wp:lineTo x="21393" y="21339"/>
                <wp:lineTo x="21393" y="0"/>
                <wp:lineTo x="0" y="0"/>
              </wp:wrapPolygon>
            </wp:wrapTight>
            <wp:docPr id="2051476651" name="Picture 2051476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476651" name="Picture 2051476651"/>
                    <pic:cNvPicPr/>
                  </pic:nvPicPr>
                  <pic:blipFill>
                    <a:blip r:embed="rId9" cstate="print">
                      <a:extLst>
                        <a:ext uri="{28A0092B-C50C-407E-A947-70E740481C1C}">
                          <a14:useLocalDpi xmlns:a14="http://schemas.microsoft.com/office/drawing/2010/main" val="0"/>
                        </a:ext>
                      </a:extLst>
                    </a:blip>
                    <a:srcRect l="9210" r="9210"/>
                    <a:stretch>
                      <a:fillRect/>
                    </a:stretch>
                  </pic:blipFill>
                  <pic:spPr bwMode="auto">
                    <a:xfrm>
                      <a:off x="0" y="0"/>
                      <a:ext cx="2519728" cy="173581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68CD" w:rsidRPr="004868CD">
        <w:rPr>
          <w:rFonts w:ascii="Georgia" w:hAnsi="Georgia"/>
          <w:bCs/>
        </w:rPr>
        <w:t xml:space="preserve">Egmont Key is located at the mouth of Tampa Bay, southwest of Fort De Soto Beach. Accessible only by boat, Egmont Key has a unique natural and cultural history, including a lighthouse that has </w:t>
      </w:r>
      <w:r w:rsidR="004868CD" w:rsidRPr="004868CD">
        <w:rPr>
          <w:rFonts w:ascii="Georgia" w:hAnsi="Georgia"/>
          <w:bCs/>
        </w:rPr>
        <w:t>existed</w:t>
      </w:r>
      <w:r w:rsidR="004868CD" w:rsidRPr="004868CD">
        <w:rPr>
          <w:rFonts w:ascii="Georgia" w:hAnsi="Georgia"/>
          <w:bCs/>
        </w:rPr>
        <w:t xml:space="preserve"> since 1858. During the 19th century, the island served as a camp for captured Seminoles at the end of the Third Seminole War and was later occupied by the Union Navy during the Civil War. In 1898, as the Spanish-American War threatened, Fort Dade was built on the island and remained active until 1923. </w:t>
      </w:r>
    </w:p>
    <w:p w14:paraId="2A5279FD" w14:textId="77777777" w:rsidR="004868CD" w:rsidRDefault="004868CD" w:rsidP="004868CD">
      <w:pPr>
        <w:tabs>
          <w:tab w:val="left" w:pos="2040"/>
        </w:tabs>
        <w:spacing w:after="0" w:line="240" w:lineRule="auto"/>
        <w:rPr>
          <w:rFonts w:ascii="Georgia" w:hAnsi="Georgia"/>
          <w:bCs/>
        </w:rPr>
      </w:pPr>
    </w:p>
    <w:p w14:paraId="71CCF13F" w14:textId="605467C2" w:rsidR="00D76316" w:rsidRDefault="004868CD" w:rsidP="000D4806">
      <w:pPr>
        <w:tabs>
          <w:tab w:val="left" w:pos="2040"/>
        </w:tabs>
        <w:spacing w:after="0" w:line="240" w:lineRule="auto"/>
        <w:rPr>
          <w:rFonts w:ascii="Georgia" w:hAnsi="Georgia"/>
          <w:bCs/>
        </w:rPr>
      </w:pPr>
      <w:r w:rsidRPr="004868CD">
        <w:rPr>
          <w:rFonts w:ascii="Georgia" w:hAnsi="Georgia"/>
          <w:bCs/>
        </w:rPr>
        <w:t>In addition to touring the historic sites and trails, visitors can enjoy swimming, fishing, wildlife viewing and picnicking.</w:t>
      </w:r>
      <w:r>
        <w:rPr>
          <w:rFonts w:ascii="Georgia" w:hAnsi="Georgia"/>
          <w:bCs/>
        </w:rPr>
        <w:t xml:space="preserve"> </w:t>
      </w:r>
      <w:r w:rsidR="000D4806" w:rsidRPr="000D4806">
        <w:rPr>
          <w:rFonts w:ascii="Georgia" w:hAnsi="Georgia"/>
          <w:bCs/>
        </w:rPr>
        <w:t>As the community rebuilds, sustained support and resources are essential to preserving Cedar Key’s historic fabric and identity. Inclusion on this year’s 11 Most Endangered list will raise awareness and foster critical public dialogue around the unique challenges, and preservation-based solutions</w:t>
      </w:r>
      <w:r w:rsidR="000D4806">
        <w:rPr>
          <w:rFonts w:ascii="Georgia" w:hAnsi="Georgia"/>
          <w:bCs/>
        </w:rPr>
        <w:t xml:space="preserve">, </w:t>
      </w:r>
      <w:r w:rsidR="000D4806" w:rsidRPr="000D4806">
        <w:rPr>
          <w:rFonts w:ascii="Georgia" w:hAnsi="Georgia"/>
          <w:bCs/>
        </w:rPr>
        <w:t>facing Florida’s small, historic, and often isolated coastal communities.</w:t>
      </w:r>
      <w:r>
        <w:rPr>
          <w:rFonts w:ascii="Georgia" w:hAnsi="Georgia"/>
          <w:bCs/>
        </w:rPr>
        <w:t xml:space="preserve"> Today, Egmont Key is threatened by erosion of its west beach and damage from recent hurricanes. </w:t>
      </w:r>
    </w:p>
    <w:p w14:paraId="622D3073" w14:textId="77777777" w:rsidR="00932167" w:rsidRDefault="00932167" w:rsidP="00D76316">
      <w:pPr>
        <w:tabs>
          <w:tab w:val="left" w:pos="2040"/>
        </w:tabs>
        <w:spacing w:after="0" w:line="240" w:lineRule="auto"/>
        <w:rPr>
          <w:rFonts w:ascii="Georgia" w:hAnsi="Georgia"/>
          <w:bCs/>
        </w:rPr>
      </w:pPr>
    </w:p>
    <w:p w14:paraId="626F4611" w14:textId="77777777" w:rsidR="000D4806" w:rsidRDefault="000D4806" w:rsidP="00D76316">
      <w:pPr>
        <w:tabs>
          <w:tab w:val="left" w:pos="2040"/>
        </w:tabs>
        <w:spacing w:after="0" w:line="240" w:lineRule="auto"/>
        <w:rPr>
          <w:rFonts w:ascii="Georgia" w:hAnsi="Georgia"/>
          <w:b/>
        </w:rPr>
      </w:pPr>
    </w:p>
    <w:p w14:paraId="100FB69C" w14:textId="0773118C" w:rsidR="009E3596" w:rsidRDefault="004868CD" w:rsidP="00905C2C">
      <w:pPr>
        <w:spacing w:after="0" w:line="240" w:lineRule="auto"/>
        <w:rPr>
          <w:rFonts w:ascii="Georgia" w:hAnsi="Georgia"/>
          <w:b/>
          <w:bCs/>
          <w:i/>
          <w:iCs/>
          <w:color w:val="000000"/>
        </w:rPr>
      </w:pPr>
      <w:r>
        <w:rPr>
          <w:rFonts w:ascii="Georgia" w:hAnsi="Georgia"/>
          <w:b/>
          <w:bCs/>
          <w:color w:val="000000"/>
        </w:rPr>
        <w:t>Flagler-Era Railway Depots</w:t>
      </w:r>
      <w:r>
        <w:rPr>
          <w:rFonts w:ascii="Georgia" w:hAnsi="Georgia"/>
          <w:b/>
          <w:bCs/>
          <w:color w:val="000000"/>
        </w:rPr>
        <w:br/>
        <w:t>St. Augustine, St. Johns County</w:t>
      </w:r>
      <w:r>
        <w:rPr>
          <w:rFonts w:ascii="Georgia" w:hAnsi="Georgia"/>
          <w:b/>
          <w:bCs/>
          <w:color w:val="000000"/>
        </w:rPr>
        <w:br/>
      </w:r>
      <w:r>
        <w:rPr>
          <w:rFonts w:ascii="Georgia" w:hAnsi="Georgia"/>
          <w:b/>
          <w:bCs/>
          <w:i/>
          <w:iCs/>
          <w:color w:val="000000"/>
        </w:rPr>
        <w:t>Built 1906 &amp; 1930</w:t>
      </w:r>
    </w:p>
    <w:p w14:paraId="342FC20F" w14:textId="77777777" w:rsidR="004868CD" w:rsidRDefault="004868CD" w:rsidP="00905C2C">
      <w:pPr>
        <w:spacing w:after="0" w:line="240" w:lineRule="auto"/>
        <w:rPr>
          <w:rFonts w:ascii="Georgia" w:hAnsi="Georgia"/>
          <w:b/>
          <w:i/>
          <w:noProof/>
        </w:rPr>
      </w:pPr>
    </w:p>
    <w:p w14:paraId="310DF4A2" w14:textId="115A4CE7" w:rsidR="00B81DCC" w:rsidRPr="00B81DCC" w:rsidRDefault="00717838" w:rsidP="00B81DCC">
      <w:pPr>
        <w:spacing w:after="0" w:line="240" w:lineRule="auto"/>
        <w:rPr>
          <w:rFonts w:ascii="Times New Roman" w:eastAsia="Times New Roman" w:hAnsi="Times New Roman" w:cs="Times New Roman"/>
          <w:sz w:val="24"/>
          <w:szCs w:val="24"/>
        </w:rPr>
      </w:pPr>
      <w:r w:rsidRPr="000B22AD">
        <w:rPr>
          <w:rFonts w:ascii="Georgia" w:hAnsi="Georgia"/>
          <w:b/>
          <w:i/>
          <w:noProof/>
        </w:rPr>
        <w:drawing>
          <wp:anchor distT="0" distB="0" distL="114300" distR="114300" simplePos="0" relativeHeight="251658241" behindDoc="1" locked="0" layoutInCell="1" allowOverlap="1" wp14:anchorId="10EF2DBE" wp14:editId="40FA6149">
            <wp:simplePos x="0" y="0"/>
            <wp:positionH relativeFrom="margin">
              <wp:align>left</wp:align>
            </wp:positionH>
            <wp:positionV relativeFrom="paragraph">
              <wp:posOffset>9525</wp:posOffset>
            </wp:positionV>
            <wp:extent cx="2493010" cy="1974850"/>
            <wp:effectExtent l="0" t="0" r="2540" b="6350"/>
            <wp:wrapTight wrapText="bothSides">
              <wp:wrapPolygon edited="0">
                <wp:start x="0" y="0"/>
                <wp:lineTo x="0" y="21461"/>
                <wp:lineTo x="21457" y="21461"/>
                <wp:lineTo x="214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rcRect l="2939" r="2939"/>
                    <a:stretch>
                      <a:fillRect/>
                    </a:stretch>
                  </pic:blipFill>
                  <pic:spPr bwMode="auto">
                    <a:xfrm>
                      <a:off x="0" y="0"/>
                      <a:ext cx="2493635" cy="1974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1DCC" w:rsidRPr="00B81DCC">
        <w:rPr>
          <w:rFonts w:ascii="Times New Roman" w:eastAsia="Times New Roman" w:hAnsi="Times New Roman" w:cs="Times New Roman"/>
          <w:sz w:val="24"/>
          <w:szCs w:val="24"/>
        </w:rPr>
        <w:t>The Carpenter’s Shop Depot and Trolley Ticket Depot are tangible remnants of the transformative era</w:t>
      </w:r>
    </w:p>
    <w:p w14:paraId="7F6EA7EA" w14:textId="77777777" w:rsidR="00B81DCC" w:rsidRPr="00B81DCC" w:rsidRDefault="00B81DCC" w:rsidP="00B81DCC">
      <w:pPr>
        <w:spacing w:after="0" w:line="240" w:lineRule="auto"/>
        <w:rPr>
          <w:rFonts w:ascii="Times New Roman" w:eastAsia="Times New Roman" w:hAnsi="Times New Roman" w:cs="Times New Roman"/>
          <w:sz w:val="24"/>
          <w:szCs w:val="24"/>
        </w:rPr>
      </w:pPr>
      <w:r w:rsidRPr="00B81DCC">
        <w:rPr>
          <w:rFonts w:ascii="Times New Roman" w:eastAsia="Times New Roman" w:hAnsi="Times New Roman" w:cs="Times New Roman"/>
          <w:sz w:val="24"/>
          <w:szCs w:val="24"/>
        </w:rPr>
        <w:t>shaped by Henry Flagler and the Florida East Coast (FEC) Railway—an era that redefined the economic,</w:t>
      </w:r>
    </w:p>
    <w:p w14:paraId="532CBDA2" w14:textId="77777777" w:rsidR="00B81DCC" w:rsidRPr="00B81DCC" w:rsidRDefault="00B81DCC" w:rsidP="00B81DCC">
      <w:pPr>
        <w:spacing w:after="0" w:line="240" w:lineRule="auto"/>
        <w:rPr>
          <w:rFonts w:ascii="Times New Roman" w:eastAsia="Times New Roman" w:hAnsi="Times New Roman" w:cs="Times New Roman"/>
          <w:sz w:val="24"/>
          <w:szCs w:val="24"/>
        </w:rPr>
      </w:pPr>
      <w:proofErr w:type="gramStart"/>
      <w:r w:rsidRPr="00B81DCC">
        <w:rPr>
          <w:rFonts w:ascii="Times New Roman" w:eastAsia="Times New Roman" w:hAnsi="Times New Roman" w:cs="Times New Roman"/>
          <w:sz w:val="24"/>
          <w:szCs w:val="24"/>
        </w:rPr>
        <w:t>cultural,</w:t>
      </w:r>
      <w:proofErr w:type="gramEnd"/>
      <w:r w:rsidRPr="00B81DCC">
        <w:rPr>
          <w:rFonts w:ascii="Times New Roman" w:eastAsia="Times New Roman" w:hAnsi="Times New Roman" w:cs="Times New Roman"/>
          <w:sz w:val="24"/>
          <w:szCs w:val="24"/>
        </w:rPr>
        <w:t xml:space="preserve"> and physical landscape of Florida’s east coast. These structures embody the expansion of rail</w:t>
      </w:r>
    </w:p>
    <w:p w14:paraId="5471CCEF" w14:textId="7FB00939" w:rsidR="00B81DCC" w:rsidRPr="00B81DCC" w:rsidRDefault="00B81DCC" w:rsidP="00B81DCC">
      <w:pPr>
        <w:spacing w:after="0" w:line="240" w:lineRule="auto"/>
        <w:rPr>
          <w:rFonts w:ascii="Times New Roman" w:eastAsia="Times New Roman" w:hAnsi="Times New Roman" w:cs="Times New Roman"/>
          <w:sz w:val="24"/>
          <w:szCs w:val="24"/>
        </w:rPr>
      </w:pPr>
      <w:r w:rsidRPr="00B81DCC">
        <w:rPr>
          <w:rFonts w:ascii="Times New Roman" w:eastAsia="Times New Roman" w:hAnsi="Times New Roman" w:cs="Times New Roman"/>
          <w:sz w:val="24"/>
          <w:szCs w:val="24"/>
        </w:rPr>
        <w:t>infrastructure that made St. Augustine a premier tourist destination and enabled the growth of surrounding</w:t>
      </w:r>
      <w:r>
        <w:rPr>
          <w:rFonts w:ascii="Times New Roman" w:eastAsia="Times New Roman" w:hAnsi="Times New Roman" w:cs="Times New Roman"/>
          <w:sz w:val="24"/>
          <w:szCs w:val="24"/>
        </w:rPr>
        <w:t xml:space="preserve"> </w:t>
      </w:r>
      <w:r w:rsidRPr="00B81DCC">
        <w:rPr>
          <w:rFonts w:ascii="Times New Roman" w:eastAsia="Times New Roman" w:hAnsi="Times New Roman" w:cs="Times New Roman"/>
          <w:sz w:val="24"/>
          <w:szCs w:val="24"/>
        </w:rPr>
        <w:t>agricultural communities.</w:t>
      </w:r>
    </w:p>
    <w:p w14:paraId="2CCFE071" w14:textId="77777777" w:rsidR="00B81DCC" w:rsidRPr="00B81DCC" w:rsidRDefault="00B81DCC" w:rsidP="00B81DCC">
      <w:pPr>
        <w:spacing w:after="0" w:line="240" w:lineRule="auto"/>
        <w:rPr>
          <w:rFonts w:ascii="Times New Roman" w:eastAsia="Times New Roman" w:hAnsi="Times New Roman" w:cs="Times New Roman"/>
          <w:sz w:val="24"/>
          <w:szCs w:val="24"/>
        </w:rPr>
      </w:pPr>
    </w:p>
    <w:p w14:paraId="3DE20CF1" w14:textId="77777777" w:rsidR="00B81DCC" w:rsidRPr="00B81DCC" w:rsidRDefault="00B81DCC" w:rsidP="00B81DCC">
      <w:pPr>
        <w:spacing w:after="0" w:line="240" w:lineRule="auto"/>
        <w:rPr>
          <w:rFonts w:ascii="Times New Roman" w:eastAsia="Times New Roman" w:hAnsi="Times New Roman" w:cs="Times New Roman"/>
          <w:sz w:val="24"/>
          <w:szCs w:val="24"/>
        </w:rPr>
      </w:pPr>
      <w:r w:rsidRPr="00B81DCC">
        <w:rPr>
          <w:rFonts w:ascii="Times New Roman" w:eastAsia="Times New Roman" w:hAnsi="Times New Roman" w:cs="Times New Roman"/>
          <w:sz w:val="24"/>
          <w:szCs w:val="24"/>
        </w:rPr>
        <w:t>For over 40 years (1984–2024), both structures resided on property owned by the St. Augustine–St. Johns</w:t>
      </w:r>
    </w:p>
    <w:p w14:paraId="7D8BC7DB" w14:textId="74D79B05" w:rsidR="00950186" w:rsidRPr="00B81DCC" w:rsidRDefault="00B81DCC" w:rsidP="00B81DCC">
      <w:pPr>
        <w:spacing w:after="0" w:line="240" w:lineRule="auto"/>
        <w:rPr>
          <w:rFonts w:ascii="Times New Roman" w:eastAsia="Times New Roman" w:hAnsi="Times New Roman" w:cs="Times New Roman"/>
          <w:sz w:val="24"/>
          <w:szCs w:val="24"/>
        </w:rPr>
      </w:pPr>
      <w:r w:rsidRPr="00B81DCC">
        <w:rPr>
          <w:rFonts w:ascii="Times New Roman" w:eastAsia="Times New Roman" w:hAnsi="Times New Roman" w:cs="Times New Roman"/>
          <w:sz w:val="24"/>
          <w:szCs w:val="24"/>
        </w:rPr>
        <w:t>County Airport Authority. With the sale of that property for hotel development, the buildings faced imminent</w:t>
      </w:r>
      <w:r>
        <w:rPr>
          <w:rFonts w:ascii="Times New Roman" w:eastAsia="Times New Roman" w:hAnsi="Times New Roman" w:cs="Times New Roman"/>
          <w:sz w:val="24"/>
          <w:szCs w:val="24"/>
        </w:rPr>
        <w:t xml:space="preserve"> </w:t>
      </w:r>
      <w:r w:rsidRPr="00B81DCC">
        <w:rPr>
          <w:rFonts w:ascii="Times New Roman" w:eastAsia="Times New Roman" w:hAnsi="Times New Roman" w:cs="Times New Roman"/>
          <w:sz w:val="24"/>
          <w:szCs w:val="24"/>
        </w:rPr>
        <w:t>demolition until a potential plan to relocate them to Hastings Main Street was proposed.</w:t>
      </w:r>
      <w:r>
        <w:rPr>
          <w:rFonts w:ascii="Times New Roman" w:eastAsia="Times New Roman" w:hAnsi="Times New Roman" w:cs="Times New Roman"/>
          <w:sz w:val="24"/>
          <w:szCs w:val="24"/>
        </w:rPr>
        <w:t xml:space="preserve"> </w:t>
      </w:r>
      <w:r w:rsidRPr="00B81DCC">
        <w:rPr>
          <w:rFonts w:ascii="Times New Roman" w:eastAsia="Times New Roman" w:hAnsi="Times New Roman" w:cs="Times New Roman"/>
          <w:sz w:val="24"/>
          <w:szCs w:val="24"/>
        </w:rPr>
        <w:t xml:space="preserve">The nominator hopes that relocation of the Carpenter’s Shop Depot will </w:t>
      </w:r>
      <w:r w:rsidRPr="00B81DCC">
        <w:rPr>
          <w:rFonts w:ascii="Times New Roman" w:eastAsia="Times New Roman" w:hAnsi="Times New Roman" w:cs="Times New Roman"/>
          <w:sz w:val="24"/>
          <w:szCs w:val="24"/>
        </w:rPr>
        <w:t>allow</w:t>
      </w:r>
      <w:r w:rsidRPr="00B81DCC">
        <w:rPr>
          <w:rFonts w:ascii="Times New Roman" w:eastAsia="Times New Roman" w:hAnsi="Times New Roman" w:cs="Times New Roman"/>
          <w:sz w:val="24"/>
          <w:szCs w:val="24"/>
        </w:rPr>
        <w:t xml:space="preserve"> it to </w:t>
      </w:r>
      <w:r>
        <w:rPr>
          <w:rFonts w:ascii="Times New Roman" w:eastAsia="Times New Roman" w:hAnsi="Times New Roman" w:cs="Times New Roman"/>
          <w:sz w:val="24"/>
          <w:szCs w:val="24"/>
        </w:rPr>
        <w:t xml:space="preserve">be </w:t>
      </w:r>
      <w:r w:rsidRPr="00B81DCC">
        <w:rPr>
          <w:rFonts w:ascii="Times New Roman" w:eastAsia="Times New Roman" w:hAnsi="Times New Roman" w:cs="Times New Roman"/>
          <w:sz w:val="24"/>
          <w:szCs w:val="24"/>
        </w:rPr>
        <w:lastRenderedPageBreak/>
        <w:t>rehabilitate</w:t>
      </w:r>
      <w:r>
        <w:rPr>
          <w:rFonts w:ascii="Times New Roman" w:eastAsia="Times New Roman" w:hAnsi="Times New Roman" w:cs="Times New Roman"/>
          <w:sz w:val="24"/>
          <w:szCs w:val="24"/>
        </w:rPr>
        <w:t>d</w:t>
      </w:r>
      <w:r w:rsidRPr="00B81DCC">
        <w:rPr>
          <w:rFonts w:ascii="Times New Roman" w:eastAsia="Times New Roman" w:hAnsi="Times New Roman" w:cs="Times New Roman"/>
          <w:sz w:val="24"/>
          <w:szCs w:val="24"/>
        </w:rPr>
        <w:t xml:space="preserve"> as a trailhead amenity station and Trolley Ticket Depot to become museum space that tells the story of Hastings’ agricultural and transportation roots.</w:t>
      </w:r>
    </w:p>
    <w:p w14:paraId="3AAE339C" w14:textId="1CB0ED57" w:rsidR="00270E3C" w:rsidRDefault="00270E3C" w:rsidP="00932167">
      <w:pPr>
        <w:rPr>
          <w:rFonts w:ascii="Georgia" w:hAnsi="Georgia"/>
          <w:b/>
        </w:rPr>
      </w:pPr>
    </w:p>
    <w:p w14:paraId="1F0F072F" w14:textId="77777777" w:rsidR="00B81DCC" w:rsidRDefault="00B81DCC" w:rsidP="003B40F6">
      <w:pPr>
        <w:spacing w:after="0" w:line="240" w:lineRule="auto"/>
        <w:rPr>
          <w:rFonts w:ascii="Georgia" w:hAnsi="Georgia"/>
          <w:b/>
          <w:bCs/>
          <w:i/>
          <w:iCs/>
          <w:color w:val="000000"/>
        </w:rPr>
      </w:pPr>
      <w:r>
        <w:rPr>
          <w:rFonts w:ascii="Georgia" w:hAnsi="Georgia"/>
          <w:b/>
          <w:bCs/>
          <w:color w:val="000000"/>
        </w:rPr>
        <w:t>Hamilton County Old Jail &amp; Museum</w:t>
      </w:r>
      <w:r>
        <w:rPr>
          <w:rFonts w:ascii="Georgia" w:hAnsi="Georgia"/>
          <w:b/>
          <w:bCs/>
          <w:color w:val="000000"/>
        </w:rPr>
        <w:br/>
        <w:t>Jasper, Hamilton County</w:t>
      </w:r>
      <w:r>
        <w:rPr>
          <w:rFonts w:ascii="Georgia" w:hAnsi="Georgia"/>
          <w:b/>
          <w:bCs/>
          <w:color w:val="000000"/>
        </w:rPr>
        <w:br/>
      </w:r>
      <w:r>
        <w:rPr>
          <w:rFonts w:ascii="Georgia" w:hAnsi="Georgia"/>
          <w:b/>
          <w:bCs/>
          <w:i/>
          <w:iCs/>
          <w:color w:val="000000"/>
        </w:rPr>
        <w:t>Built 1893</w:t>
      </w:r>
    </w:p>
    <w:p w14:paraId="1359D952" w14:textId="079B4151" w:rsidR="00B81DCC" w:rsidRDefault="007E4723" w:rsidP="003B40F6">
      <w:pPr>
        <w:spacing w:after="0" w:line="240" w:lineRule="auto"/>
        <w:rPr>
          <w:rFonts w:ascii="Georgia" w:hAnsi="Georgia"/>
          <w:b/>
          <w:bCs/>
          <w:i/>
          <w:iCs/>
          <w:color w:val="000000"/>
        </w:rPr>
      </w:pPr>
      <w:r>
        <w:rPr>
          <w:rFonts w:ascii="Georgia" w:hAnsi="Georgia"/>
          <w:noProof/>
        </w:rPr>
        <w:drawing>
          <wp:anchor distT="0" distB="0" distL="114300" distR="114300" simplePos="0" relativeHeight="251658245" behindDoc="1" locked="0" layoutInCell="1" allowOverlap="1" wp14:anchorId="144F09F9" wp14:editId="55D3DD91">
            <wp:simplePos x="0" y="0"/>
            <wp:positionH relativeFrom="margin">
              <wp:posOffset>19050</wp:posOffset>
            </wp:positionH>
            <wp:positionV relativeFrom="paragraph">
              <wp:posOffset>141605</wp:posOffset>
            </wp:positionV>
            <wp:extent cx="2533015" cy="1897380"/>
            <wp:effectExtent l="0" t="0" r="635" b="7620"/>
            <wp:wrapTight wrapText="bothSides">
              <wp:wrapPolygon edited="0">
                <wp:start x="0" y="0"/>
                <wp:lineTo x="0" y="21470"/>
                <wp:lineTo x="21443" y="21470"/>
                <wp:lineTo x="2144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2533015" cy="1897380"/>
                    </a:xfrm>
                    <a:prstGeom prst="rect">
                      <a:avLst/>
                    </a:prstGeom>
                  </pic:spPr>
                </pic:pic>
              </a:graphicData>
            </a:graphic>
            <wp14:sizeRelH relativeFrom="margin">
              <wp14:pctWidth>0</wp14:pctWidth>
            </wp14:sizeRelH>
            <wp14:sizeRelV relativeFrom="margin">
              <wp14:pctHeight>0</wp14:pctHeight>
            </wp14:sizeRelV>
          </wp:anchor>
        </w:drawing>
      </w:r>
    </w:p>
    <w:p w14:paraId="2F9B6FB7" w14:textId="3D9B3DB6" w:rsidR="00326516" w:rsidRDefault="00B81DCC" w:rsidP="00B81DCC">
      <w:pPr>
        <w:spacing w:after="0" w:line="240" w:lineRule="auto"/>
        <w:rPr>
          <w:rFonts w:ascii="Georgia" w:hAnsi="Georgia"/>
          <w:color w:val="000000"/>
        </w:rPr>
      </w:pPr>
      <w:r>
        <w:rPr>
          <w:rFonts w:ascii="Georgia" w:hAnsi="Georgia"/>
          <w:color w:val="000000"/>
        </w:rPr>
        <w:t xml:space="preserve">Constructed in 1893, the Old Hamilton County Jail stands as one of the oldest continuously used civic buildings in North Florida and a powerful symbol of Hamilton County’s heritage. Designed and built by the Pauly Jail Company of St. Louis, the two-story brick and steel structure was engineered to be fire-resistant, an innovative feature for its time. </w:t>
      </w:r>
    </w:p>
    <w:p w14:paraId="63FC68E7" w14:textId="77777777" w:rsidR="00326516" w:rsidRDefault="00326516" w:rsidP="00B81DCC">
      <w:pPr>
        <w:spacing w:after="0" w:line="240" w:lineRule="auto"/>
        <w:rPr>
          <w:rFonts w:ascii="Georgia" w:hAnsi="Georgia"/>
          <w:color w:val="000000"/>
        </w:rPr>
      </w:pPr>
    </w:p>
    <w:p w14:paraId="54A18789" w14:textId="79198B28" w:rsidR="003B40F6" w:rsidRDefault="00B81DCC" w:rsidP="00B81DCC">
      <w:pPr>
        <w:spacing w:after="0" w:line="240" w:lineRule="auto"/>
        <w:rPr>
          <w:rFonts w:ascii="Georgia" w:hAnsi="Georgia"/>
          <w:color w:val="000000"/>
        </w:rPr>
      </w:pPr>
      <w:r>
        <w:rPr>
          <w:rFonts w:ascii="Georgia" w:hAnsi="Georgia"/>
          <w:color w:val="000000"/>
        </w:rPr>
        <w:t>For more than 91 years, it served as the county’s only jail, housing both inmates and the sheriff’s family under one roof, reflecting the intertwined nature of law, home and community life in late-19th-century rural Florida. Listed on the National Register of Historic Places, the jail now serves as the Hamilton County Historical Museum, offering visitors a rare, immersive view of early justice systems and local history.</w:t>
      </w:r>
    </w:p>
    <w:p w14:paraId="599BF63B" w14:textId="77777777" w:rsidR="00B81DCC" w:rsidRPr="003B40F6" w:rsidRDefault="00B81DCC" w:rsidP="00B81DCC">
      <w:pPr>
        <w:spacing w:after="0" w:line="240" w:lineRule="auto"/>
        <w:rPr>
          <w:rFonts w:ascii="Georgia" w:hAnsi="Georgia"/>
        </w:rPr>
      </w:pPr>
    </w:p>
    <w:p w14:paraId="16714A73" w14:textId="35BCA1EB" w:rsidR="007C6ED1" w:rsidRPr="00326516" w:rsidRDefault="00326516" w:rsidP="00326516">
      <w:pPr>
        <w:spacing w:after="0" w:line="240" w:lineRule="auto"/>
        <w:rPr>
          <w:rFonts w:ascii="Georgia" w:hAnsi="Georgia"/>
        </w:rPr>
      </w:pPr>
      <w:r w:rsidRPr="00326516">
        <w:rPr>
          <w:rFonts w:ascii="Georgia" w:hAnsi="Georgia"/>
        </w:rPr>
        <w:t>The Old Hamilton County Jail faces an urgent and escalating threat from both environmental damage and</w:t>
      </w:r>
      <w:r>
        <w:rPr>
          <w:rFonts w:ascii="Georgia" w:hAnsi="Georgia"/>
        </w:rPr>
        <w:t xml:space="preserve"> </w:t>
      </w:r>
      <w:r w:rsidRPr="00326516">
        <w:rPr>
          <w:rFonts w:ascii="Georgia" w:hAnsi="Georgia"/>
        </w:rPr>
        <w:t>prolonged deferred maintenance. The nominator hopes that inclusion to the 11 to Save program will raise awareness for addressing threats through a focused, community-driven preservation and reuse plan.</w:t>
      </w:r>
    </w:p>
    <w:p w14:paraId="14E740A6" w14:textId="77777777" w:rsidR="00EF0EA6" w:rsidRDefault="00EF0EA6" w:rsidP="00A365A2">
      <w:pPr>
        <w:spacing w:after="0" w:line="240" w:lineRule="auto"/>
        <w:rPr>
          <w:rFonts w:ascii="Georgia" w:hAnsi="Georgia"/>
          <w:b/>
        </w:rPr>
      </w:pPr>
    </w:p>
    <w:p w14:paraId="70D6016B" w14:textId="77777777" w:rsidR="00EF0EA6" w:rsidRDefault="00EF0EA6" w:rsidP="00A365A2">
      <w:pPr>
        <w:spacing w:after="0" w:line="240" w:lineRule="auto"/>
        <w:rPr>
          <w:rFonts w:ascii="Georgia" w:hAnsi="Georgia"/>
          <w:b/>
        </w:rPr>
      </w:pPr>
    </w:p>
    <w:p w14:paraId="628DD75B" w14:textId="77777777" w:rsidR="00326516" w:rsidRDefault="00326516" w:rsidP="003B40F6">
      <w:pPr>
        <w:spacing w:after="0" w:line="240" w:lineRule="auto"/>
        <w:rPr>
          <w:rFonts w:ascii="Georgia" w:hAnsi="Georgia"/>
          <w:b/>
          <w:bCs/>
          <w:i/>
          <w:iCs/>
          <w:color w:val="000000"/>
        </w:rPr>
      </w:pPr>
      <w:r>
        <w:rPr>
          <w:rFonts w:ascii="Georgia" w:hAnsi="Georgia"/>
          <w:b/>
          <w:bCs/>
          <w:color w:val="000000"/>
        </w:rPr>
        <w:t>Lincoln Lane Schoolhouse</w:t>
      </w:r>
      <w:r>
        <w:rPr>
          <w:rFonts w:ascii="Georgia" w:hAnsi="Georgia"/>
          <w:b/>
          <w:bCs/>
          <w:color w:val="000000"/>
        </w:rPr>
        <w:br/>
        <w:t>Interlachen, Putnam County</w:t>
      </w:r>
      <w:r>
        <w:rPr>
          <w:rFonts w:ascii="Georgia" w:hAnsi="Georgia"/>
          <w:b/>
          <w:bCs/>
          <w:color w:val="000000"/>
        </w:rPr>
        <w:br/>
      </w:r>
      <w:r>
        <w:rPr>
          <w:rFonts w:ascii="Georgia" w:hAnsi="Georgia"/>
          <w:b/>
          <w:bCs/>
          <w:i/>
          <w:iCs/>
          <w:color w:val="000000"/>
        </w:rPr>
        <w:t>Built 1938</w:t>
      </w:r>
    </w:p>
    <w:p w14:paraId="65A814B5" w14:textId="152ABC76" w:rsidR="00326516" w:rsidRDefault="007E4723" w:rsidP="003B40F6">
      <w:pPr>
        <w:spacing w:after="0" w:line="240" w:lineRule="auto"/>
        <w:rPr>
          <w:rFonts w:ascii="Georgia" w:hAnsi="Georgia"/>
          <w:b/>
          <w:bCs/>
          <w:i/>
          <w:iCs/>
          <w:color w:val="000000"/>
        </w:rPr>
      </w:pPr>
      <w:r>
        <w:rPr>
          <w:rFonts w:ascii="Georgia" w:hAnsi="Georgia"/>
          <w:noProof/>
        </w:rPr>
        <w:drawing>
          <wp:anchor distT="0" distB="0" distL="114300" distR="114300" simplePos="0" relativeHeight="251658246" behindDoc="0" locked="0" layoutInCell="1" allowOverlap="1" wp14:anchorId="6094C960" wp14:editId="66A1BC4B">
            <wp:simplePos x="0" y="0"/>
            <wp:positionH relativeFrom="margin">
              <wp:align>left</wp:align>
            </wp:positionH>
            <wp:positionV relativeFrom="paragraph">
              <wp:posOffset>3810</wp:posOffset>
            </wp:positionV>
            <wp:extent cx="2562225" cy="1482090"/>
            <wp:effectExtent l="0" t="0" r="9525" b="3810"/>
            <wp:wrapThrough wrapText="bothSides">
              <wp:wrapPolygon edited="0">
                <wp:start x="0" y="0"/>
                <wp:lineTo x="0" y="21378"/>
                <wp:lineTo x="21520" y="21378"/>
                <wp:lineTo x="2152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cstate="print">
                      <a:extLst>
                        <a:ext uri="{28A0092B-C50C-407E-A947-70E740481C1C}">
                          <a14:useLocalDpi xmlns:a14="http://schemas.microsoft.com/office/drawing/2010/main" val="0"/>
                        </a:ext>
                      </a:extLst>
                    </a:blip>
                    <a:srcRect t="6671" b="6671"/>
                    <a:stretch>
                      <a:fillRect/>
                    </a:stretch>
                  </pic:blipFill>
                  <pic:spPr bwMode="auto">
                    <a:xfrm>
                      <a:off x="0" y="0"/>
                      <a:ext cx="2562225" cy="1482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6D5B3C" w14:textId="190FFB5C" w:rsidR="00B43E93" w:rsidRPr="00B43E93" w:rsidRDefault="00892F26" w:rsidP="00B43E93">
      <w:pPr>
        <w:pStyle w:val="NormalWeb"/>
        <w:spacing w:before="0" w:beforeAutospacing="0" w:after="0" w:afterAutospacing="0"/>
        <w:rPr>
          <w:rFonts w:eastAsia="Times New Roman"/>
        </w:rPr>
      </w:pPr>
      <w:r w:rsidRPr="00892F26">
        <w:rPr>
          <w:rFonts w:ascii="Georgia" w:hAnsi="Georgia"/>
          <w:bCs/>
        </w:rPr>
        <w:t>Built in 1938 at a cost "not to exceed $600," the one-room</w:t>
      </w:r>
      <w:r>
        <w:rPr>
          <w:rFonts w:ascii="Georgia" w:hAnsi="Georgia"/>
          <w:bCs/>
        </w:rPr>
        <w:t xml:space="preserve"> Lincoln Lane</w:t>
      </w:r>
      <w:r w:rsidRPr="00892F26">
        <w:rPr>
          <w:rFonts w:ascii="Georgia" w:hAnsi="Georgia"/>
          <w:bCs/>
        </w:rPr>
        <w:t xml:space="preserve"> </w:t>
      </w:r>
      <w:r>
        <w:rPr>
          <w:rFonts w:ascii="Georgia" w:hAnsi="Georgia"/>
          <w:bCs/>
        </w:rPr>
        <w:t>S</w:t>
      </w:r>
      <w:r w:rsidRPr="00892F26">
        <w:rPr>
          <w:rFonts w:ascii="Georgia" w:hAnsi="Georgia"/>
          <w:bCs/>
        </w:rPr>
        <w:t>chool</w:t>
      </w:r>
      <w:r>
        <w:rPr>
          <w:rFonts w:ascii="Georgia" w:hAnsi="Georgia"/>
          <w:bCs/>
        </w:rPr>
        <w:t xml:space="preserve"> H</w:t>
      </w:r>
      <w:r w:rsidRPr="00892F26">
        <w:rPr>
          <w:rFonts w:ascii="Georgia" w:hAnsi="Georgia"/>
          <w:bCs/>
        </w:rPr>
        <w:t>ouse</w:t>
      </w:r>
      <w:r>
        <w:rPr>
          <w:rFonts w:ascii="Georgia" w:hAnsi="Georgia"/>
          <w:bCs/>
        </w:rPr>
        <w:t xml:space="preserve"> was the first Black school in Interlachen, serving</w:t>
      </w:r>
      <w:r w:rsidRPr="00892F26">
        <w:rPr>
          <w:rFonts w:ascii="Georgia" w:hAnsi="Georgia"/>
          <w:bCs/>
        </w:rPr>
        <w:t xml:space="preserve"> African American children from grades 1 through 6. It closed following the 1954 landmark United States Court decision of Brown v. Board of Education of Topeka that found "separate but equal" doctrine, which had been used to justify segregation in public schools as unconstitutional.</w:t>
      </w:r>
      <w:r w:rsidR="00B43E93">
        <w:rPr>
          <w:rFonts w:ascii="Georgia" w:hAnsi="Georgia"/>
          <w:bCs/>
        </w:rPr>
        <w:t xml:space="preserve"> </w:t>
      </w:r>
      <w:r w:rsidR="00B43E93" w:rsidRPr="00B43E93">
        <w:rPr>
          <w:rFonts w:ascii="Georgia" w:eastAsia="Times New Roman" w:hAnsi="Georgia"/>
          <w:color w:val="000000"/>
          <w:sz w:val="22"/>
          <w:szCs w:val="22"/>
        </w:rPr>
        <w:t>The Historical Society of Interlachen, Inc. purchased the land and building in 2013 in recognition of its historic significance.</w:t>
      </w:r>
    </w:p>
    <w:p w14:paraId="1051E358" w14:textId="77777777" w:rsidR="00B43E93" w:rsidRPr="00B43E93" w:rsidRDefault="00B43E93" w:rsidP="00B43E93">
      <w:pPr>
        <w:spacing w:after="0" w:line="240" w:lineRule="auto"/>
        <w:rPr>
          <w:rFonts w:ascii="Times New Roman" w:eastAsia="Times New Roman" w:hAnsi="Times New Roman" w:cs="Times New Roman"/>
          <w:sz w:val="24"/>
          <w:szCs w:val="24"/>
        </w:rPr>
      </w:pPr>
    </w:p>
    <w:p w14:paraId="28707F07" w14:textId="12946ED5" w:rsidR="003B40F6" w:rsidRPr="0069421D" w:rsidRDefault="00B43E93" w:rsidP="003B40F6">
      <w:pPr>
        <w:spacing w:after="0" w:line="240" w:lineRule="auto"/>
        <w:rPr>
          <w:rFonts w:ascii="Times New Roman" w:eastAsia="Times New Roman" w:hAnsi="Times New Roman" w:cs="Times New Roman"/>
          <w:sz w:val="24"/>
          <w:szCs w:val="24"/>
        </w:rPr>
      </w:pPr>
      <w:r w:rsidRPr="00B43E93">
        <w:rPr>
          <w:rFonts w:ascii="Georgia" w:eastAsia="Times New Roman" w:hAnsi="Georgia" w:cs="Times New Roman"/>
          <w:color w:val="000000"/>
        </w:rPr>
        <w:lastRenderedPageBreak/>
        <w:t xml:space="preserve">The </w:t>
      </w:r>
      <w:r w:rsidRPr="00B43E93">
        <w:rPr>
          <w:rFonts w:ascii="Georgia" w:eastAsia="Times New Roman" w:hAnsi="Georgia" w:cs="Times New Roman"/>
          <w:color w:val="000000"/>
        </w:rPr>
        <w:t>school</w:t>
      </w:r>
      <w:r>
        <w:rPr>
          <w:rFonts w:ascii="Georgia" w:eastAsia="Times New Roman" w:hAnsi="Georgia" w:cs="Times New Roman"/>
          <w:color w:val="000000"/>
        </w:rPr>
        <w:t>house’s future</w:t>
      </w:r>
      <w:r w:rsidRPr="00B43E93">
        <w:rPr>
          <w:rFonts w:ascii="Georgia" w:eastAsia="Times New Roman" w:hAnsi="Georgia" w:cs="Times New Roman"/>
          <w:color w:val="000000"/>
        </w:rPr>
        <w:t xml:space="preserve"> is threatened due </w:t>
      </w:r>
      <w:r>
        <w:rPr>
          <w:rFonts w:ascii="Georgia" w:eastAsia="Times New Roman" w:hAnsi="Georgia" w:cs="Times New Roman"/>
          <w:color w:val="000000"/>
        </w:rPr>
        <w:t>to years of structural deterioration</w:t>
      </w:r>
      <w:r w:rsidRPr="00B43E93">
        <w:rPr>
          <w:rFonts w:ascii="Georgia" w:eastAsia="Times New Roman" w:hAnsi="Georgia" w:cs="Times New Roman"/>
          <w:color w:val="000000"/>
        </w:rPr>
        <w:t xml:space="preserve">. </w:t>
      </w:r>
      <w:r>
        <w:rPr>
          <w:rFonts w:ascii="Georgia" w:eastAsia="Times New Roman" w:hAnsi="Georgia" w:cs="Times New Roman"/>
          <w:color w:val="000000"/>
        </w:rPr>
        <w:t>The nominator believes that</w:t>
      </w:r>
      <w:r w:rsidRPr="00B43E93">
        <w:rPr>
          <w:rFonts w:ascii="Georgia" w:eastAsia="Times New Roman" w:hAnsi="Georgia" w:cs="Times New Roman"/>
          <w:color w:val="000000"/>
        </w:rPr>
        <w:t xml:space="preserve"> inclusion on the 11 to Save list would garner more attention to its needs and hopefully generate resources to help save its history.</w:t>
      </w:r>
    </w:p>
    <w:p w14:paraId="14060C56" w14:textId="77777777" w:rsidR="003B40F6" w:rsidRDefault="003B40F6" w:rsidP="003B40F6">
      <w:pPr>
        <w:spacing w:after="0" w:line="240" w:lineRule="auto"/>
        <w:rPr>
          <w:rFonts w:ascii="Georgia" w:hAnsi="Georgia"/>
          <w:b/>
        </w:rPr>
      </w:pPr>
    </w:p>
    <w:p w14:paraId="78854EBD" w14:textId="77777777" w:rsidR="006060FD" w:rsidRDefault="006060FD" w:rsidP="004435B7">
      <w:pPr>
        <w:spacing w:after="0" w:line="240" w:lineRule="auto"/>
        <w:rPr>
          <w:rFonts w:ascii="Georgia" w:hAnsi="Georgia"/>
          <w:b/>
        </w:rPr>
      </w:pPr>
    </w:p>
    <w:p w14:paraId="7B3255D1" w14:textId="3FD29EF6" w:rsidR="004F7347" w:rsidRDefault="00B43E93" w:rsidP="004F7347">
      <w:pPr>
        <w:spacing w:after="0" w:line="240" w:lineRule="auto"/>
        <w:rPr>
          <w:rFonts w:ascii="Georgia" w:hAnsi="Georgia"/>
          <w:b/>
          <w:bCs/>
          <w:i/>
          <w:iCs/>
          <w:color w:val="000000"/>
        </w:rPr>
      </w:pPr>
      <w:r>
        <w:rPr>
          <w:rFonts w:ascii="Georgia" w:hAnsi="Georgia"/>
          <w:b/>
          <w:bCs/>
          <w:color w:val="000000"/>
        </w:rPr>
        <w:t>Lubbe House</w:t>
      </w:r>
      <w:r>
        <w:rPr>
          <w:rFonts w:ascii="Georgia" w:hAnsi="Georgia"/>
          <w:b/>
          <w:bCs/>
          <w:color w:val="000000"/>
        </w:rPr>
        <w:br/>
        <w:t>Orlando, Orange County</w:t>
      </w:r>
      <w:r>
        <w:rPr>
          <w:rFonts w:ascii="Georgia" w:hAnsi="Georgia"/>
          <w:b/>
          <w:bCs/>
          <w:color w:val="000000"/>
        </w:rPr>
        <w:br/>
      </w:r>
      <w:r>
        <w:rPr>
          <w:rFonts w:ascii="Georgia" w:hAnsi="Georgia"/>
          <w:b/>
          <w:bCs/>
          <w:i/>
          <w:iCs/>
          <w:color w:val="000000"/>
        </w:rPr>
        <w:t>Built 1930</w:t>
      </w:r>
    </w:p>
    <w:p w14:paraId="70950DCC" w14:textId="77777777" w:rsidR="00B43E93" w:rsidRPr="00A35186" w:rsidRDefault="00B43E93" w:rsidP="004F7347">
      <w:pPr>
        <w:spacing w:after="0" w:line="240" w:lineRule="auto"/>
        <w:rPr>
          <w:rFonts w:ascii="Georgia" w:hAnsi="Georgia"/>
        </w:rPr>
      </w:pPr>
    </w:p>
    <w:p w14:paraId="605DD1C6" w14:textId="6E9E4D00" w:rsidR="00A35186" w:rsidRPr="00A35186" w:rsidRDefault="00932167" w:rsidP="00A35186">
      <w:pPr>
        <w:rPr>
          <w:rFonts w:ascii="Georgia" w:hAnsi="Georgia"/>
        </w:rPr>
      </w:pPr>
      <w:r w:rsidRPr="00A35186">
        <w:rPr>
          <w:rFonts w:ascii="Georgia" w:hAnsi="Georgia"/>
          <w:b/>
          <w:i/>
          <w:noProof/>
        </w:rPr>
        <w:drawing>
          <wp:anchor distT="0" distB="0" distL="114300" distR="114300" simplePos="0" relativeHeight="251658242" behindDoc="1" locked="0" layoutInCell="1" allowOverlap="1" wp14:anchorId="5E786FA9" wp14:editId="509A25FD">
            <wp:simplePos x="0" y="0"/>
            <wp:positionH relativeFrom="margin">
              <wp:posOffset>28575</wp:posOffset>
            </wp:positionH>
            <wp:positionV relativeFrom="paragraph">
              <wp:posOffset>8890</wp:posOffset>
            </wp:positionV>
            <wp:extent cx="2466975" cy="1542415"/>
            <wp:effectExtent l="0" t="0" r="9525" b="635"/>
            <wp:wrapTight wrapText="bothSides">
              <wp:wrapPolygon edited="0">
                <wp:start x="0" y="0"/>
                <wp:lineTo x="0" y="21342"/>
                <wp:lineTo x="21517" y="21342"/>
                <wp:lineTo x="2151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extLst>
                        <a:ext uri="{28A0092B-C50C-407E-A947-70E740481C1C}">
                          <a14:useLocalDpi xmlns:a14="http://schemas.microsoft.com/office/drawing/2010/main" val="0"/>
                        </a:ext>
                      </a:extLst>
                    </a:blip>
                    <a:srcRect t="8265" b="8265"/>
                    <a:stretch>
                      <a:fillRect/>
                    </a:stretch>
                  </pic:blipFill>
                  <pic:spPr bwMode="auto">
                    <a:xfrm>
                      <a:off x="0" y="0"/>
                      <a:ext cx="2466975" cy="1542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5186" w:rsidRPr="00A35186">
        <w:rPr>
          <w:rFonts w:ascii="Georgia" w:hAnsi="Georgia"/>
        </w:rPr>
        <w:t>Built in 1930, the Lubbe House is a rare surviving example of Mediterranean Revival, or Moorish-style, residential architecture in downtown Orlando. Located within Lake Eola Park, the house retains much of its original exterior character, including historic windows, doors, and ornamentation. Although some decorative entry details have been removed, photographs documenting the original carved features survive. The Lubbe House is especially significant as the last remaining residence originally constructed along the shores of Lake Eola.</w:t>
      </w:r>
    </w:p>
    <w:p w14:paraId="288080C1" w14:textId="0A45795E" w:rsidR="00AE2178" w:rsidRPr="00A35186" w:rsidRDefault="00A35186" w:rsidP="00A35186">
      <w:pPr>
        <w:rPr>
          <w:rFonts w:ascii="Georgia" w:hAnsi="Georgia"/>
        </w:rPr>
      </w:pPr>
      <w:r w:rsidRPr="00A35186">
        <w:rPr>
          <w:rFonts w:ascii="Georgia" w:hAnsi="Georgia"/>
        </w:rPr>
        <w:t>The house is now threatened by redevelopment pressures surrounding Lake Eola Park. After years of debate over a proposed high-rise development, the City of Orlando acquired nearby properties through a partnership with the Orlando Land Trust to expand parkland. Adjacent buildings are slated for demolition, leaving the future of the Lubbe House uncertain. Preservation advocates fear the loss of the structure would erase the final residential link to Lake Eola’s historic waterfront development.</w:t>
      </w:r>
    </w:p>
    <w:p w14:paraId="05565B3B" w14:textId="77777777" w:rsidR="00A35186" w:rsidRDefault="00A35186" w:rsidP="00A35186">
      <w:pPr>
        <w:rPr>
          <w:rFonts w:ascii="Georgia" w:hAnsi="Georgia"/>
        </w:rPr>
      </w:pPr>
    </w:p>
    <w:p w14:paraId="7046930F" w14:textId="47ED219A" w:rsidR="004F7347" w:rsidRPr="000B22AD" w:rsidRDefault="00D34B74" w:rsidP="004F7347">
      <w:pPr>
        <w:spacing w:after="0" w:line="240" w:lineRule="auto"/>
        <w:rPr>
          <w:rFonts w:ascii="Georgia" w:hAnsi="Georgia"/>
          <w:i/>
        </w:rPr>
      </w:pPr>
      <w:r>
        <w:rPr>
          <w:rFonts w:ascii="Georgia" w:hAnsi="Georgia"/>
          <w:b/>
          <w:bCs/>
          <w:color w:val="000000"/>
        </w:rPr>
        <w:t>Pasadena Community Church</w:t>
      </w:r>
      <w:r>
        <w:rPr>
          <w:rFonts w:ascii="Georgia" w:hAnsi="Georgia"/>
          <w:b/>
          <w:bCs/>
          <w:color w:val="000000"/>
        </w:rPr>
        <w:br/>
        <w:t>St. Petersburg, Pinellas County</w:t>
      </w:r>
      <w:r>
        <w:rPr>
          <w:rFonts w:ascii="Georgia" w:hAnsi="Georgia"/>
          <w:b/>
          <w:bCs/>
          <w:color w:val="000000"/>
        </w:rPr>
        <w:br/>
      </w:r>
      <w:r>
        <w:rPr>
          <w:rFonts w:ascii="Georgia" w:hAnsi="Georgia"/>
          <w:b/>
          <w:bCs/>
          <w:i/>
          <w:iCs/>
          <w:color w:val="000000"/>
        </w:rPr>
        <w:t>Built 1961</w:t>
      </w:r>
      <w:r w:rsidR="004F7347" w:rsidRPr="000B22AD">
        <w:rPr>
          <w:rFonts w:ascii="Georgia" w:hAnsi="Georgia"/>
          <w:i/>
        </w:rPr>
        <w:t xml:space="preserve"> </w:t>
      </w:r>
    </w:p>
    <w:p w14:paraId="2363DF5C" w14:textId="5DCBA20E" w:rsidR="00D34B74" w:rsidRPr="00D34B74" w:rsidRDefault="0050671E" w:rsidP="00D34B74">
      <w:pPr>
        <w:spacing w:after="0" w:line="240" w:lineRule="auto"/>
        <w:rPr>
          <w:rFonts w:ascii="Georgia" w:hAnsi="Georgia"/>
        </w:rPr>
      </w:pPr>
      <w:r w:rsidRPr="006060FD">
        <w:rPr>
          <w:rFonts w:ascii="Georgia" w:hAnsi="Georgia"/>
          <w:b/>
          <w:noProof/>
          <w:highlight w:val="yellow"/>
        </w:rPr>
        <w:drawing>
          <wp:anchor distT="0" distB="0" distL="114300" distR="114300" simplePos="0" relativeHeight="251658243" behindDoc="1" locked="0" layoutInCell="1" allowOverlap="1" wp14:anchorId="181A3E90" wp14:editId="395FBED7">
            <wp:simplePos x="0" y="0"/>
            <wp:positionH relativeFrom="margin">
              <wp:align>left</wp:align>
            </wp:positionH>
            <wp:positionV relativeFrom="paragraph">
              <wp:posOffset>46355</wp:posOffset>
            </wp:positionV>
            <wp:extent cx="2505075" cy="1591945"/>
            <wp:effectExtent l="0" t="0" r="9525" b="8255"/>
            <wp:wrapTight wrapText="bothSides">
              <wp:wrapPolygon edited="0">
                <wp:start x="0" y="0"/>
                <wp:lineTo x="0" y="21454"/>
                <wp:lineTo x="21518" y="21454"/>
                <wp:lineTo x="2151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a:extLst>
                        <a:ext uri="{28A0092B-C50C-407E-A947-70E740481C1C}">
                          <a14:useLocalDpi xmlns:a14="http://schemas.microsoft.com/office/drawing/2010/main" val="0"/>
                        </a:ext>
                      </a:extLst>
                    </a:blip>
                    <a:srcRect t="93" b="93"/>
                    <a:stretch>
                      <a:fillRect/>
                    </a:stretch>
                  </pic:blipFill>
                  <pic:spPr bwMode="auto">
                    <a:xfrm>
                      <a:off x="0" y="0"/>
                      <a:ext cx="2505075" cy="1591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34B74" w:rsidRPr="00D34B74">
        <w:rPr>
          <w:rFonts w:ascii="Georgia" w:hAnsi="Georgia"/>
        </w:rPr>
        <w:t>The Pasadena Community Church sanctuary represented the crowning achievement of the Rev. Dr. J. Wallace’s ministry when it was completed in the 1960s. This mid-century modern, 2,000-seat sanctuary features a dramatic folded-plate roof and floor-to-ceiling glass walls that create a luminous, garden-like worship space. Embracing the congregation’s historic tradition of both indoor and outdoor worship, the sanctuary stands as a defining landmark in St. Petersburg.</w:t>
      </w:r>
    </w:p>
    <w:p w14:paraId="497C9F38" w14:textId="77777777" w:rsidR="00D34B74" w:rsidRPr="00D34B74" w:rsidRDefault="00D34B74" w:rsidP="00D34B74">
      <w:pPr>
        <w:spacing w:after="0" w:line="240" w:lineRule="auto"/>
        <w:rPr>
          <w:rFonts w:ascii="Georgia" w:hAnsi="Georgia"/>
        </w:rPr>
      </w:pPr>
    </w:p>
    <w:p w14:paraId="4CF4F62B" w14:textId="77777777" w:rsidR="00D34B74" w:rsidRPr="00D34B74" w:rsidRDefault="00D34B74" w:rsidP="00D34B74">
      <w:pPr>
        <w:spacing w:after="0" w:line="240" w:lineRule="auto"/>
        <w:rPr>
          <w:rFonts w:ascii="Georgia" w:hAnsi="Georgia"/>
        </w:rPr>
      </w:pPr>
      <w:r w:rsidRPr="00D34B74">
        <w:rPr>
          <w:rFonts w:ascii="Georgia" w:hAnsi="Georgia"/>
        </w:rPr>
        <w:t xml:space="preserve">The sanctuary embodies the postwar era’s optimism and spirit of innovation in structure, materials, and spatial design. Constructed during St. Petersburg’s westward suburban </w:t>
      </w:r>
      <w:r w:rsidRPr="00D34B74">
        <w:rPr>
          <w:rFonts w:ascii="Georgia" w:hAnsi="Georgia"/>
        </w:rPr>
        <w:lastRenderedPageBreak/>
        <w:t>expansion, it reflects the evolution of religious architecture in response to technological advancements while also honoring the congregation’s origins as a “drive-in” church.</w:t>
      </w:r>
    </w:p>
    <w:p w14:paraId="6C94ACC1" w14:textId="77777777" w:rsidR="00D34B74" w:rsidRPr="00D34B74" w:rsidRDefault="00D34B74" w:rsidP="00D34B74">
      <w:pPr>
        <w:spacing w:after="0" w:line="240" w:lineRule="auto"/>
        <w:rPr>
          <w:rFonts w:ascii="Georgia" w:hAnsi="Georgia"/>
        </w:rPr>
      </w:pPr>
    </w:p>
    <w:p w14:paraId="180842F9" w14:textId="1EB45FDA" w:rsidR="006060FD" w:rsidRDefault="00D34B74" w:rsidP="00D34B74">
      <w:pPr>
        <w:spacing w:after="0" w:line="240" w:lineRule="auto"/>
        <w:rPr>
          <w:rFonts w:ascii="Georgia" w:hAnsi="Georgia"/>
          <w:b/>
        </w:rPr>
      </w:pPr>
      <w:r w:rsidRPr="00D34B74">
        <w:rPr>
          <w:rFonts w:ascii="Georgia" w:hAnsi="Georgia"/>
        </w:rPr>
        <w:t>In February 2026, Pasadena Community Church members approved a resolution proposed by the church’s Discernment Committee to demolish and replace the sanctuary with a new worship center. The committee concluded that the cost of renovating and preserving the building would exceed that of constructing a new facility. The sanctuary has remained unused since sustaining damage during Hurricane Milton.</w:t>
      </w:r>
    </w:p>
    <w:p w14:paraId="203CB1E4" w14:textId="77777777" w:rsidR="006060FD" w:rsidRDefault="006060FD" w:rsidP="00932167">
      <w:pPr>
        <w:spacing w:after="0" w:line="240" w:lineRule="auto"/>
        <w:rPr>
          <w:rFonts w:ascii="Georgia" w:hAnsi="Georgia"/>
          <w:b/>
        </w:rPr>
      </w:pPr>
    </w:p>
    <w:p w14:paraId="354B9CA9" w14:textId="77777777" w:rsidR="00EF0EA6" w:rsidRDefault="00EF0EA6" w:rsidP="00932167">
      <w:pPr>
        <w:spacing w:after="0" w:line="240" w:lineRule="auto"/>
        <w:rPr>
          <w:rFonts w:ascii="Georgia" w:hAnsi="Georgia"/>
          <w:b/>
        </w:rPr>
      </w:pPr>
    </w:p>
    <w:p w14:paraId="1C4F1A26" w14:textId="77777777" w:rsidR="00D34B74" w:rsidRDefault="00D34B74" w:rsidP="00932167">
      <w:pPr>
        <w:spacing w:after="0" w:line="240" w:lineRule="auto"/>
        <w:rPr>
          <w:rFonts w:ascii="Georgia" w:hAnsi="Georgia"/>
          <w:b/>
          <w:bCs/>
          <w:i/>
          <w:iCs/>
          <w:color w:val="000000"/>
        </w:rPr>
      </w:pPr>
      <w:r>
        <w:rPr>
          <w:rFonts w:ascii="Georgia" w:hAnsi="Georgia"/>
          <w:b/>
          <w:bCs/>
          <w:color w:val="000000"/>
        </w:rPr>
        <w:t xml:space="preserve">Police Memorial Building </w:t>
      </w:r>
      <w:r>
        <w:rPr>
          <w:rFonts w:ascii="Georgia" w:hAnsi="Georgia"/>
          <w:b/>
          <w:bCs/>
          <w:color w:val="000000"/>
        </w:rPr>
        <w:br/>
        <w:t>Jacksonville, Duval County</w:t>
      </w:r>
      <w:r>
        <w:rPr>
          <w:rFonts w:ascii="Georgia" w:hAnsi="Georgia"/>
          <w:b/>
          <w:bCs/>
          <w:color w:val="000000"/>
        </w:rPr>
        <w:br/>
      </w:r>
      <w:r>
        <w:rPr>
          <w:rFonts w:ascii="Georgia" w:hAnsi="Georgia"/>
          <w:b/>
          <w:bCs/>
          <w:i/>
          <w:iCs/>
          <w:color w:val="000000"/>
        </w:rPr>
        <w:t>Built 1974</w:t>
      </w:r>
    </w:p>
    <w:p w14:paraId="45782ADB" w14:textId="36D173AA" w:rsidR="00932167" w:rsidRDefault="004D6A9E" w:rsidP="00932167">
      <w:pPr>
        <w:spacing w:after="0" w:line="240" w:lineRule="auto"/>
        <w:rPr>
          <w:rFonts w:ascii="Georgia" w:hAnsi="Georgia"/>
        </w:rPr>
      </w:pPr>
      <w:r w:rsidRPr="00756146">
        <w:rPr>
          <w:rFonts w:ascii="Georgia" w:hAnsi="Georgia"/>
          <w:b/>
          <w:i/>
          <w:iCs/>
          <w:noProof/>
        </w:rPr>
        <w:drawing>
          <wp:anchor distT="0" distB="0" distL="114300" distR="114300" simplePos="0" relativeHeight="251658249" behindDoc="1" locked="0" layoutInCell="1" allowOverlap="1" wp14:anchorId="3B6EE26A" wp14:editId="76018D13">
            <wp:simplePos x="0" y="0"/>
            <wp:positionH relativeFrom="margin">
              <wp:align>left</wp:align>
            </wp:positionH>
            <wp:positionV relativeFrom="paragraph">
              <wp:posOffset>129540</wp:posOffset>
            </wp:positionV>
            <wp:extent cx="2505075" cy="1593215"/>
            <wp:effectExtent l="0" t="0" r="9525" b="6985"/>
            <wp:wrapTight wrapText="bothSides">
              <wp:wrapPolygon edited="0">
                <wp:start x="0" y="0"/>
                <wp:lineTo x="0" y="21436"/>
                <wp:lineTo x="21518" y="21436"/>
                <wp:lineTo x="2151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cstate="print">
                      <a:extLst>
                        <a:ext uri="{28A0092B-C50C-407E-A947-70E740481C1C}">
                          <a14:useLocalDpi xmlns:a14="http://schemas.microsoft.com/office/drawing/2010/main" val="0"/>
                        </a:ext>
                      </a:extLst>
                    </a:blip>
                    <a:srcRect t="2977" b="2977"/>
                    <a:stretch>
                      <a:fillRect/>
                    </a:stretch>
                  </pic:blipFill>
                  <pic:spPr bwMode="auto">
                    <a:xfrm>
                      <a:off x="0" y="0"/>
                      <a:ext cx="2505500" cy="15934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6C29B0" w14:textId="5E91A51E" w:rsidR="0095164D" w:rsidRDefault="00D34B74" w:rsidP="00D34B74">
      <w:pPr>
        <w:spacing w:after="0" w:line="240" w:lineRule="auto"/>
        <w:rPr>
          <w:rFonts w:ascii="Georgia" w:hAnsi="Georgia"/>
          <w:color w:val="000000"/>
        </w:rPr>
      </w:pPr>
      <w:r>
        <w:rPr>
          <w:rFonts w:ascii="Georgia" w:hAnsi="Georgia"/>
          <w:color w:val="000000"/>
        </w:rPr>
        <w:t xml:space="preserve">A massive, multi-block Brutalist structure, the Police Memorial Building in Jacksonville was a product of William N. Morgan, one of Florida's best-known architects. The building originally included pedestrian amenities and foliage on its roof, providing a beautiful view of the adjacent St. Johns River. The green roof and park were an effort to democratize and humanize the structure. Morgan was an archaeologist as well as an architect and the Police Memorial Building reflects aspects of pre-Columbian design and construction by including platformed terraces and pyramid motifs. Other thoughtful aspects of the project include underground parking, which negated the need for surface lots and garages, which have taken over the fabric of downtown Jacksonville. </w:t>
      </w:r>
      <w:r w:rsidR="0095164D" w:rsidRPr="0095164D">
        <w:rPr>
          <w:rFonts w:ascii="Georgia" w:hAnsi="Georgia"/>
          <w:vanish/>
        </w:rPr>
        <w:t>Top of Form</w:t>
      </w:r>
    </w:p>
    <w:p w14:paraId="65A349FA" w14:textId="77777777" w:rsidR="00D34B74" w:rsidRDefault="00D34B74" w:rsidP="00D34B74">
      <w:pPr>
        <w:spacing w:after="0" w:line="240" w:lineRule="auto"/>
        <w:rPr>
          <w:rFonts w:ascii="Georgia" w:hAnsi="Georgia"/>
          <w:color w:val="000000"/>
        </w:rPr>
      </w:pPr>
    </w:p>
    <w:p w14:paraId="486BC347" w14:textId="3153AA26" w:rsidR="00D34B74" w:rsidRPr="0095164D" w:rsidRDefault="00D34B74" w:rsidP="00D34B74">
      <w:pPr>
        <w:spacing w:after="0" w:line="240" w:lineRule="auto"/>
        <w:rPr>
          <w:rFonts w:ascii="Georgia" w:hAnsi="Georgia"/>
          <w:vanish/>
        </w:rPr>
      </w:pPr>
      <w:r>
        <w:rPr>
          <w:rFonts w:ascii="Georgia" w:hAnsi="Georgia"/>
          <w:color w:val="000000"/>
        </w:rPr>
        <w:t xml:space="preserve">Recently, the Jacksonville Sheriff’s Office relocated most of its functions to a new location. Situated </w:t>
      </w:r>
      <w:proofErr w:type="gramStart"/>
      <w:r>
        <w:rPr>
          <w:rFonts w:ascii="Georgia" w:hAnsi="Georgia"/>
          <w:color w:val="000000"/>
        </w:rPr>
        <w:t>adjacent</w:t>
      </w:r>
      <w:proofErr w:type="gramEnd"/>
      <w:r>
        <w:rPr>
          <w:rFonts w:ascii="Georgia" w:hAnsi="Georgia"/>
          <w:color w:val="000000"/>
        </w:rPr>
        <w:t xml:space="preserve"> an area of the downtown riverfront where the city is making significant investments to </w:t>
      </w:r>
      <w:proofErr w:type="gramStart"/>
      <w:r>
        <w:rPr>
          <w:rFonts w:ascii="Georgia" w:hAnsi="Georgia"/>
          <w:color w:val="000000"/>
        </w:rPr>
        <w:t>encourage infill</w:t>
      </w:r>
      <w:proofErr w:type="gramEnd"/>
      <w:r>
        <w:rPr>
          <w:rFonts w:ascii="Georgia" w:hAnsi="Georgia"/>
          <w:color w:val="000000"/>
        </w:rPr>
        <w:t xml:space="preserve"> mixed-use development, the multi-block Police Memorial Building site is in danger of being demolished. </w:t>
      </w:r>
      <w:r>
        <w:rPr>
          <w:rFonts w:ascii="Georgia" w:hAnsi="Georgia"/>
          <w:color w:val="000000"/>
        </w:rPr>
        <w:t>Being included in this year’s 11 to Save will bring new eyes and new hope to saving this marvel structure.</w:t>
      </w:r>
    </w:p>
    <w:p w14:paraId="4A881CFA" w14:textId="77777777" w:rsidR="0095164D" w:rsidRPr="0095164D" w:rsidRDefault="0095164D" w:rsidP="0095164D">
      <w:pPr>
        <w:spacing w:after="0" w:line="240" w:lineRule="auto"/>
        <w:rPr>
          <w:rFonts w:ascii="Georgia" w:hAnsi="Georgia"/>
          <w:vanish/>
        </w:rPr>
      </w:pPr>
      <w:r w:rsidRPr="0095164D">
        <w:rPr>
          <w:rFonts w:ascii="Georgia" w:hAnsi="Georgia"/>
          <w:vanish/>
        </w:rPr>
        <w:t>Bottom of Form</w:t>
      </w:r>
    </w:p>
    <w:p w14:paraId="7C618E00" w14:textId="77777777" w:rsidR="0095164D" w:rsidRPr="0018489A" w:rsidRDefault="0095164D" w:rsidP="00FB7D50">
      <w:pPr>
        <w:spacing w:after="0" w:line="240" w:lineRule="auto"/>
        <w:rPr>
          <w:rFonts w:ascii="Georgia" w:hAnsi="Georgia"/>
        </w:rPr>
      </w:pPr>
    </w:p>
    <w:p w14:paraId="5606F5F4" w14:textId="77777777" w:rsidR="0018489A" w:rsidRDefault="0018489A" w:rsidP="00FB7D50">
      <w:pPr>
        <w:spacing w:after="0" w:line="240" w:lineRule="auto"/>
        <w:rPr>
          <w:rFonts w:ascii="Georgia" w:hAnsi="Georgia"/>
          <w:b/>
        </w:rPr>
      </w:pPr>
    </w:p>
    <w:p w14:paraId="567AD408" w14:textId="77777777" w:rsidR="0069421D" w:rsidRDefault="0069421D" w:rsidP="00FB7D50">
      <w:pPr>
        <w:spacing w:after="0" w:line="240" w:lineRule="auto"/>
        <w:rPr>
          <w:rFonts w:ascii="Georgia" w:hAnsi="Georgia"/>
          <w:b/>
        </w:rPr>
      </w:pPr>
    </w:p>
    <w:p w14:paraId="557A0499" w14:textId="77777777" w:rsidR="00D34B74" w:rsidRDefault="00D34B74" w:rsidP="005B4441">
      <w:pPr>
        <w:spacing w:after="0" w:line="240" w:lineRule="auto"/>
        <w:rPr>
          <w:rFonts w:ascii="Georgia" w:hAnsi="Georgia"/>
          <w:b/>
          <w:bCs/>
          <w:i/>
          <w:iCs/>
          <w:color w:val="000000"/>
        </w:rPr>
      </w:pPr>
      <w:r>
        <w:rPr>
          <w:rFonts w:ascii="Georgia" w:hAnsi="Georgia"/>
          <w:b/>
          <w:bCs/>
          <w:color w:val="000000"/>
        </w:rPr>
        <w:t xml:space="preserve">Stuart High School </w:t>
      </w:r>
      <w:r>
        <w:rPr>
          <w:rFonts w:ascii="Georgia" w:hAnsi="Georgia"/>
          <w:b/>
          <w:bCs/>
          <w:color w:val="000000"/>
        </w:rPr>
        <w:br/>
        <w:t>Stuart, Martin County</w:t>
      </w:r>
      <w:r>
        <w:rPr>
          <w:rFonts w:ascii="Georgia" w:hAnsi="Georgia"/>
          <w:b/>
          <w:bCs/>
          <w:color w:val="000000"/>
        </w:rPr>
        <w:br/>
      </w:r>
      <w:r>
        <w:rPr>
          <w:rFonts w:ascii="Georgia" w:hAnsi="Georgia"/>
          <w:b/>
          <w:bCs/>
          <w:i/>
          <w:iCs/>
          <w:color w:val="000000"/>
        </w:rPr>
        <w:t>Built 1922-1923</w:t>
      </w:r>
    </w:p>
    <w:p w14:paraId="566FFFAB" w14:textId="11A080CD" w:rsidR="006A09CB" w:rsidRDefault="00E87A90" w:rsidP="005B4441">
      <w:pPr>
        <w:spacing w:after="0" w:line="240" w:lineRule="auto"/>
        <w:rPr>
          <w:rFonts w:ascii="Georgia" w:hAnsi="Georgia"/>
          <w:b/>
          <w:i/>
        </w:rPr>
      </w:pPr>
      <w:r w:rsidRPr="000B22AD">
        <w:rPr>
          <w:rFonts w:ascii="Georgia" w:hAnsi="Georgia"/>
          <w:b/>
          <w:noProof/>
        </w:rPr>
        <w:lastRenderedPageBreak/>
        <w:drawing>
          <wp:anchor distT="0" distB="0" distL="114300" distR="114300" simplePos="0" relativeHeight="251658248" behindDoc="1" locked="0" layoutInCell="1" allowOverlap="1" wp14:anchorId="61E5661E" wp14:editId="79D53504">
            <wp:simplePos x="0" y="0"/>
            <wp:positionH relativeFrom="margin">
              <wp:align>left</wp:align>
            </wp:positionH>
            <wp:positionV relativeFrom="paragraph">
              <wp:posOffset>159385</wp:posOffset>
            </wp:positionV>
            <wp:extent cx="2520950" cy="1715770"/>
            <wp:effectExtent l="0" t="0" r="0" b="0"/>
            <wp:wrapTight wrapText="bothSides">
              <wp:wrapPolygon edited="0">
                <wp:start x="0" y="0"/>
                <wp:lineTo x="0" y="21344"/>
                <wp:lineTo x="21382" y="21344"/>
                <wp:lineTo x="2138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6">
                      <a:extLst>
                        <a:ext uri="{28A0092B-C50C-407E-A947-70E740481C1C}">
                          <a14:useLocalDpi xmlns:a14="http://schemas.microsoft.com/office/drawing/2010/main" val="0"/>
                        </a:ext>
                      </a:extLst>
                    </a:blip>
                    <a:srcRect t="15971" b="15971"/>
                    <a:stretch>
                      <a:fillRect/>
                    </a:stretch>
                  </pic:blipFill>
                  <pic:spPr bwMode="auto">
                    <a:xfrm>
                      <a:off x="0" y="0"/>
                      <a:ext cx="2521327" cy="17159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7BD95A" w14:textId="3BA81E2D" w:rsidR="00FC2DB5" w:rsidRPr="00FC2DB5" w:rsidRDefault="00FC2DB5" w:rsidP="00FC2DB5">
      <w:pPr>
        <w:spacing w:after="0" w:line="240" w:lineRule="auto"/>
        <w:rPr>
          <w:rFonts w:ascii="Georgia" w:hAnsi="Georgia"/>
          <w:bCs/>
          <w:iCs/>
        </w:rPr>
      </w:pPr>
      <w:bookmarkStart w:id="3" w:name="_Hlk109282514"/>
      <w:r w:rsidRPr="00FC2DB5">
        <w:rPr>
          <w:rFonts w:ascii="Georgia" w:hAnsi="Georgia"/>
          <w:bCs/>
          <w:iCs/>
        </w:rPr>
        <w:t>Stuart High School opened on September 21, 1923, and was designed in the Art Deco style by Frederick Homer Trimble, a prominent architect known for designing more than 50 schools across Florida. The original campus centered on the high school building and expanded over time with a WPA-built cabin in the 1930s, a wooden gymnasium in 1934, and additional classrooms and a cafeteria in the 1950s. The later additions, designed in the mid-century modern style by Stuart architect Don Armstrong, completed the campus. Today, only the 1923 high school and the two modernist classroom wings remain.</w:t>
      </w:r>
    </w:p>
    <w:p w14:paraId="034E2B9D" w14:textId="77777777" w:rsidR="00FC2DB5" w:rsidRPr="00FC2DB5" w:rsidRDefault="00FC2DB5" w:rsidP="00FC2DB5">
      <w:pPr>
        <w:spacing w:after="0" w:line="240" w:lineRule="auto"/>
        <w:rPr>
          <w:rFonts w:ascii="Georgia" w:hAnsi="Georgia"/>
          <w:bCs/>
          <w:iCs/>
        </w:rPr>
      </w:pPr>
    </w:p>
    <w:p w14:paraId="0D465071" w14:textId="11E62DF8" w:rsidR="00FC2DB5" w:rsidRDefault="00FC2DB5" w:rsidP="00FC2DB5">
      <w:pPr>
        <w:spacing w:after="0" w:line="240" w:lineRule="auto"/>
        <w:rPr>
          <w:rFonts w:ascii="Georgia" w:hAnsi="Georgia"/>
          <w:bCs/>
          <w:iCs/>
        </w:rPr>
      </w:pPr>
      <w:r w:rsidRPr="00FC2DB5">
        <w:rPr>
          <w:rFonts w:ascii="Georgia" w:hAnsi="Georgia"/>
          <w:bCs/>
          <w:iCs/>
        </w:rPr>
        <w:t xml:space="preserve">The historic building has been vacant since October 2023, following its decommissioning by the Martin County School District. Without active use or stewardship, the property </w:t>
      </w:r>
      <w:r>
        <w:rPr>
          <w:rFonts w:ascii="Georgia" w:hAnsi="Georgia"/>
          <w:bCs/>
          <w:iCs/>
        </w:rPr>
        <w:t>has faced</w:t>
      </w:r>
      <w:r w:rsidRPr="00FC2DB5">
        <w:rPr>
          <w:rFonts w:ascii="Georgia" w:hAnsi="Georgia"/>
          <w:bCs/>
          <w:iCs/>
        </w:rPr>
        <w:t xml:space="preserve"> increasing deterioration</w:t>
      </w:r>
      <w:r>
        <w:rPr>
          <w:rFonts w:ascii="Georgia" w:hAnsi="Georgia"/>
          <w:bCs/>
          <w:iCs/>
        </w:rPr>
        <w:t xml:space="preserve"> </w:t>
      </w:r>
      <w:r w:rsidRPr="00FC2DB5">
        <w:rPr>
          <w:rFonts w:ascii="Georgia" w:hAnsi="Georgia"/>
          <w:bCs/>
          <w:iCs/>
        </w:rPr>
        <w:t xml:space="preserve">and deferred maintenance. </w:t>
      </w:r>
      <w:r>
        <w:rPr>
          <w:rFonts w:ascii="Georgia" w:hAnsi="Georgia"/>
          <w:bCs/>
          <w:iCs/>
        </w:rPr>
        <w:t>The nominator believes that inclusion on this year’s 11 to Save list will help raise awareness and support for preserving this important part of Stuart’s history.</w:t>
      </w:r>
    </w:p>
    <w:p w14:paraId="4C9A640D" w14:textId="77777777" w:rsidR="00F6794E" w:rsidRDefault="00F6794E" w:rsidP="00FB7D50">
      <w:pPr>
        <w:spacing w:after="0" w:line="240" w:lineRule="auto"/>
        <w:rPr>
          <w:rFonts w:ascii="Georgia" w:hAnsi="Georgia"/>
          <w:b/>
        </w:rPr>
      </w:pPr>
    </w:p>
    <w:p w14:paraId="49540AA7" w14:textId="77777777" w:rsidR="00EF0EA6" w:rsidRDefault="00EF0EA6" w:rsidP="00FB7D50">
      <w:pPr>
        <w:spacing w:after="0" w:line="240" w:lineRule="auto"/>
        <w:rPr>
          <w:rFonts w:ascii="Georgia" w:hAnsi="Georgia"/>
          <w:b/>
        </w:rPr>
      </w:pPr>
    </w:p>
    <w:bookmarkEnd w:id="3"/>
    <w:p w14:paraId="78F6676E" w14:textId="77777777" w:rsidR="00FC2DB5" w:rsidRDefault="00FC2DB5" w:rsidP="003F0097">
      <w:pPr>
        <w:spacing w:after="0" w:line="240" w:lineRule="auto"/>
        <w:rPr>
          <w:rFonts w:ascii="Georgia" w:hAnsi="Georgia"/>
          <w:b/>
          <w:bCs/>
          <w:i/>
          <w:iCs/>
          <w:color w:val="000000"/>
        </w:rPr>
      </w:pPr>
      <w:r>
        <w:rPr>
          <w:rFonts w:ascii="Georgia" w:hAnsi="Georgia"/>
          <w:b/>
          <w:bCs/>
          <w:color w:val="000000"/>
        </w:rPr>
        <w:t xml:space="preserve">Villa Serena </w:t>
      </w:r>
      <w:r>
        <w:rPr>
          <w:rFonts w:ascii="Georgia" w:hAnsi="Georgia"/>
          <w:b/>
          <w:bCs/>
          <w:color w:val="000000"/>
        </w:rPr>
        <w:br/>
        <w:t>Miami, Miami-Dade County</w:t>
      </w:r>
      <w:r>
        <w:rPr>
          <w:rFonts w:ascii="Georgia" w:hAnsi="Georgia"/>
          <w:b/>
          <w:bCs/>
          <w:color w:val="000000"/>
        </w:rPr>
        <w:br/>
      </w:r>
      <w:r>
        <w:rPr>
          <w:rFonts w:ascii="Georgia" w:hAnsi="Georgia"/>
          <w:b/>
          <w:bCs/>
          <w:i/>
          <w:iCs/>
          <w:color w:val="000000"/>
        </w:rPr>
        <w:t>Built 1913</w:t>
      </w:r>
    </w:p>
    <w:p w14:paraId="20CB270D" w14:textId="4EF730E5" w:rsidR="00A35186" w:rsidRPr="00A35186" w:rsidRDefault="00D7488C" w:rsidP="00A35186">
      <w:pPr>
        <w:spacing w:after="0" w:line="240" w:lineRule="auto"/>
        <w:rPr>
          <w:rFonts w:ascii="Georgia" w:hAnsi="Georgia"/>
        </w:rPr>
      </w:pPr>
      <w:r w:rsidRPr="000B22AD">
        <w:rPr>
          <w:b/>
          <w:noProof/>
          <w:sz w:val="24"/>
          <w:szCs w:val="24"/>
        </w:rPr>
        <w:drawing>
          <wp:anchor distT="0" distB="0" distL="114300" distR="114300" simplePos="0" relativeHeight="251658244" behindDoc="1" locked="0" layoutInCell="1" allowOverlap="1" wp14:anchorId="1BBE1D76" wp14:editId="0F8DAE32">
            <wp:simplePos x="0" y="0"/>
            <wp:positionH relativeFrom="margin">
              <wp:align>left</wp:align>
            </wp:positionH>
            <wp:positionV relativeFrom="paragraph">
              <wp:posOffset>28575</wp:posOffset>
            </wp:positionV>
            <wp:extent cx="2505075" cy="1468755"/>
            <wp:effectExtent l="0" t="0" r="9525" b="0"/>
            <wp:wrapTight wrapText="bothSides">
              <wp:wrapPolygon edited="0">
                <wp:start x="0" y="0"/>
                <wp:lineTo x="0" y="21292"/>
                <wp:lineTo x="21518" y="21292"/>
                <wp:lineTo x="2151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a:extLst>
                        <a:ext uri="{28A0092B-C50C-407E-A947-70E740481C1C}">
                          <a14:useLocalDpi xmlns:a14="http://schemas.microsoft.com/office/drawing/2010/main" val="0"/>
                        </a:ext>
                      </a:extLst>
                    </a:blip>
                    <a:srcRect t="3712" b="3712"/>
                    <a:stretch>
                      <a:fillRect/>
                    </a:stretch>
                  </pic:blipFill>
                  <pic:spPr bwMode="auto">
                    <a:xfrm>
                      <a:off x="0" y="0"/>
                      <a:ext cx="2505075" cy="1468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5186" w:rsidRPr="00A35186">
        <w:rPr>
          <w:rFonts w:ascii="Georgia" w:hAnsi="Georgia"/>
        </w:rPr>
        <w:t>Built in 1913, Villa Serena is one of the last surviving icons of early twentieth century residential settlements of the once primeval Brickell Hammock. Facing Biscayne Bay, its 200 feet of shoreline is overlooked and bordered by a segment of the Silver Bluff, as the exposed Atlantic Coast Ridge is known.</w:t>
      </w:r>
    </w:p>
    <w:p w14:paraId="2CA5D1A6" w14:textId="77777777" w:rsidR="00A35186" w:rsidRPr="00A35186" w:rsidRDefault="00A35186" w:rsidP="00A35186">
      <w:pPr>
        <w:spacing w:after="0" w:line="240" w:lineRule="auto"/>
        <w:rPr>
          <w:rFonts w:ascii="Georgia" w:hAnsi="Georgia"/>
        </w:rPr>
      </w:pPr>
    </w:p>
    <w:p w14:paraId="7068A26C" w14:textId="77777777" w:rsidR="00A35186" w:rsidRPr="00A35186" w:rsidRDefault="00A35186" w:rsidP="00A35186">
      <w:pPr>
        <w:spacing w:after="0" w:line="240" w:lineRule="auto"/>
        <w:rPr>
          <w:rFonts w:ascii="Georgia" w:hAnsi="Georgia"/>
        </w:rPr>
      </w:pPr>
      <w:r w:rsidRPr="00A35186">
        <w:rPr>
          <w:rFonts w:ascii="Georgia" w:hAnsi="Georgia"/>
        </w:rPr>
        <w:t>One of the first reinforced concreate homes in Miami, it was the winter home from 1913 to 1920 and permanent home thereafter of Mary Braid and William Jennings Bryan. Bryan, served as the 41st United States Secretary of State during the President Woodrow Wilson administration.</w:t>
      </w:r>
    </w:p>
    <w:p w14:paraId="792BF042" w14:textId="77777777" w:rsidR="00A35186" w:rsidRPr="00A35186" w:rsidRDefault="00A35186" w:rsidP="00A35186">
      <w:pPr>
        <w:spacing w:after="0" w:line="240" w:lineRule="auto"/>
        <w:rPr>
          <w:rFonts w:ascii="Georgia" w:hAnsi="Georgia"/>
        </w:rPr>
      </w:pPr>
    </w:p>
    <w:p w14:paraId="25AD0AE4" w14:textId="77777777" w:rsidR="00A35186" w:rsidRPr="00A35186" w:rsidRDefault="00A35186" w:rsidP="00A35186">
      <w:pPr>
        <w:spacing w:after="0" w:line="240" w:lineRule="auto"/>
        <w:rPr>
          <w:rFonts w:ascii="Georgia" w:hAnsi="Georgia"/>
        </w:rPr>
      </w:pPr>
      <w:r w:rsidRPr="00A35186">
        <w:rPr>
          <w:rFonts w:ascii="Georgia" w:hAnsi="Georgia"/>
        </w:rPr>
        <w:t xml:space="preserve">It is considered early or pre-Mediterranean Revival in style but was likely influenced by turn-of-the-century Cuban mansions encountered by the Bryans </w:t>
      </w:r>
      <w:proofErr w:type="gramStart"/>
      <w:r w:rsidRPr="00A35186">
        <w:rPr>
          <w:rFonts w:ascii="Georgia" w:hAnsi="Georgia"/>
        </w:rPr>
        <w:t>in the course of</w:t>
      </w:r>
      <w:proofErr w:type="gramEnd"/>
      <w:r w:rsidRPr="00A35186">
        <w:rPr>
          <w:rFonts w:ascii="Georgia" w:hAnsi="Georgia"/>
        </w:rPr>
        <w:t xml:space="preserve"> their travels. It was one of the first reinforced concrete homes in Miami.</w:t>
      </w:r>
    </w:p>
    <w:p w14:paraId="7A878A7E" w14:textId="77777777" w:rsidR="00A35186" w:rsidRPr="00A35186" w:rsidRDefault="00A35186" w:rsidP="00A35186">
      <w:pPr>
        <w:spacing w:after="0" w:line="240" w:lineRule="auto"/>
        <w:rPr>
          <w:rFonts w:ascii="Georgia" w:hAnsi="Georgia"/>
        </w:rPr>
      </w:pPr>
    </w:p>
    <w:p w14:paraId="583B8799" w14:textId="3CD8F06C" w:rsidR="00B722D3" w:rsidRDefault="00A35186" w:rsidP="00A35186">
      <w:pPr>
        <w:spacing w:after="0" w:line="240" w:lineRule="auto"/>
        <w:rPr>
          <w:rFonts w:ascii="Georgia" w:hAnsi="Georgia"/>
        </w:rPr>
      </w:pPr>
      <w:r w:rsidRPr="00A35186">
        <w:rPr>
          <w:rFonts w:ascii="Georgia" w:hAnsi="Georgia"/>
        </w:rPr>
        <w:t xml:space="preserve">In 2022, the former owner sold it to a hedge fund magnate whose plan is to move the house to a collection of buildings near and belonging to Villa Vizcaya. </w:t>
      </w:r>
      <w:proofErr w:type="gramStart"/>
      <w:r w:rsidRPr="00A35186">
        <w:rPr>
          <w:rFonts w:ascii="Georgia" w:hAnsi="Georgia"/>
        </w:rPr>
        <w:t>Collaterally</w:t>
      </w:r>
      <w:proofErr w:type="gramEnd"/>
      <w:r w:rsidRPr="00A35186">
        <w:rPr>
          <w:rFonts w:ascii="Georgia" w:hAnsi="Georgia"/>
        </w:rPr>
        <w:t>, the plan endangers an existing archaeological site.</w:t>
      </w:r>
    </w:p>
    <w:p w14:paraId="7438360E" w14:textId="77777777" w:rsidR="00664BBC" w:rsidRDefault="00664BBC" w:rsidP="00664BBC">
      <w:pPr>
        <w:spacing w:after="0" w:line="240" w:lineRule="auto"/>
        <w:rPr>
          <w:rFonts w:ascii="Georgia" w:hAnsi="Georgia"/>
        </w:rPr>
      </w:pPr>
    </w:p>
    <w:p w14:paraId="5F87F1FD" w14:textId="77777777" w:rsidR="00FF09E8" w:rsidRPr="004F7347" w:rsidRDefault="00FF09E8" w:rsidP="001C7BCE">
      <w:pPr>
        <w:spacing w:after="0" w:line="240" w:lineRule="auto"/>
        <w:jc w:val="center"/>
        <w:rPr>
          <w:rFonts w:ascii="Georgia" w:hAnsi="Georgia"/>
        </w:rPr>
      </w:pPr>
      <w:r w:rsidRPr="004F7347">
        <w:rPr>
          <w:rFonts w:ascii="Georgia" w:hAnsi="Georgia"/>
        </w:rPr>
        <w:t>###</w:t>
      </w:r>
    </w:p>
    <w:p w14:paraId="7D5B6BB8" w14:textId="77777777" w:rsidR="001131BD" w:rsidRPr="004F7347" w:rsidRDefault="001131BD" w:rsidP="001608F4">
      <w:pPr>
        <w:spacing w:after="0" w:line="240" w:lineRule="auto"/>
        <w:rPr>
          <w:rFonts w:ascii="Georgia" w:hAnsi="Georgia"/>
        </w:rPr>
      </w:pPr>
    </w:p>
    <w:p w14:paraId="374078DE" w14:textId="77777777" w:rsidR="001131BD" w:rsidRPr="004F7347" w:rsidRDefault="001131BD" w:rsidP="001608F4">
      <w:pPr>
        <w:spacing w:after="0" w:line="240" w:lineRule="auto"/>
        <w:rPr>
          <w:rFonts w:ascii="Georgia" w:hAnsi="Georgia"/>
          <w:b/>
        </w:rPr>
      </w:pPr>
      <w:r w:rsidRPr="004F7347">
        <w:rPr>
          <w:rFonts w:ascii="Georgia" w:hAnsi="Georgia"/>
          <w:b/>
        </w:rPr>
        <w:t>About the Florida Trust</w:t>
      </w:r>
    </w:p>
    <w:p w14:paraId="51A25816" w14:textId="261F7A76" w:rsidR="00A32563" w:rsidRDefault="001131BD" w:rsidP="00270E3C">
      <w:pPr>
        <w:spacing w:after="0" w:line="240" w:lineRule="auto"/>
        <w:jc w:val="both"/>
        <w:rPr>
          <w:rFonts w:ascii="Georgia" w:hAnsi="Georgia"/>
        </w:rPr>
      </w:pPr>
      <w:r w:rsidRPr="004F7347">
        <w:rPr>
          <w:rFonts w:ascii="Georgia" w:hAnsi="Georgia"/>
        </w:rPr>
        <w:t xml:space="preserve">The Florida Trust for Historic Preservation is the state’s nonprofit dedicated to protecting Florida’s extraordinary heritage and history. Founded in 1978, the Florida Trust </w:t>
      </w:r>
      <w:proofErr w:type="gramStart"/>
      <w:r w:rsidRPr="004F7347">
        <w:rPr>
          <w:rFonts w:ascii="Georgia" w:hAnsi="Georgia"/>
        </w:rPr>
        <w:t>has collaborated</w:t>
      </w:r>
      <w:proofErr w:type="gramEnd"/>
      <w:r w:rsidRPr="004F7347">
        <w:rPr>
          <w:rFonts w:ascii="Georgia" w:hAnsi="Georgia"/>
        </w:rPr>
        <w:t xml:space="preserve"> to save irreplaceable Florida treasures like the Historic Florida Capitol and is a statewide partner of the National Trust for Historic Preservation. Learn more at </w:t>
      </w:r>
      <w:hyperlink r:id="rId18" w:history="1">
        <w:r w:rsidRPr="004F7347">
          <w:rPr>
            <w:rStyle w:val="Hyperlink"/>
            <w:rFonts w:ascii="Georgia" w:hAnsi="Georgia"/>
          </w:rPr>
          <w:t>www.FloridaTrust.org</w:t>
        </w:r>
      </w:hyperlink>
      <w:r w:rsidR="00270E3C">
        <w:rPr>
          <w:rFonts w:ascii="Georgia" w:hAnsi="Georgia"/>
        </w:rPr>
        <w:t>.</w:t>
      </w:r>
    </w:p>
    <w:p w14:paraId="5EFF29DB" w14:textId="77777777" w:rsidR="00A365A2" w:rsidRDefault="00A365A2" w:rsidP="00270E3C">
      <w:pPr>
        <w:spacing w:after="0" w:line="240" w:lineRule="auto"/>
        <w:jc w:val="both"/>
        <w:rPr>
          <w:rFonts w:ascii="Georgia" w:hAnsi="Georgia"/>
        </w:rPr>
      </w:pPr>
    </w:p>
    <w:p w14:paraId="601F1695" w14:textId="77777777" w:rsidR="00E65F4A" w:rsidRDefault="00E65F4A" w:rsidP="00A365A2">
      <w:pPr>
        <w:spacing w:after="0" w:line="240" w:lineRule="auto"/>
        <w:jc w:val="both"/>
        <w:rPr>
          <w:rFonts w:ascii="Georgia" w:hAnsi="Georgia"/>
        </w:rPr>
      </w:pPr>
    </w:p>
    <w:p w14:paraId="2130325B" w14:textId="77777777" w:rsidR="00A60CEF" w:rsidRDefault="00A60CEF" w:rsidP="00A365A2">
      <w:pPr>
        <w:spacing w:after="0" w:line="240" w:lineRule="auto"/>
        <w:jc w:val="both"/>
        <w:rPr>
          <w:rFonts w:ascii="Georgia" w:hAnsi="Georgia"/>
        </w:rPr>
      </w:pPr>
    </w:p>
    <w:p w14:paraId="4ECA72D8" w14:textId="77777777" w:rsidR="00A60CEF" w:rsidRDefault="00A60CEF" w:rsidP="00A365A2">
      <w:pPr>
        <w:spacing w:after="0" w:line="240" w:lineRule="auto"/>
        <w:jc w:val="both"/>
        <w:rPr>
          <w:rFonts w:ascii="Georgia" w:hAnsi="Georgia"/>
        </w:rPr>
      </w:pPr>
    </w:p>
    <w:p w14:paraId="1366A07C" w14:textId="77777777" w:rsidR="00A60CEF" w:rsidRDefault="00A60CEF" w:rsidP="00A365A2">
      <w:pPr>
        <w:spacing w:after="0" w:line="240" w:lineRule="auto"/>
        <w:jc w:val="both"/>
        <w:rPr>
          <w:rFonts w:ascii="Georgia" w:hAnsi="Georgia"/>
        </w:rPr>
      </w:pPr>
    </w:p>
    <w:p w14:paraId="7C545228" w14:textId="77777777" w:rsidR="00A60CEF" w:rsidRDefault="00A60CEF" w:rsidP="00A365A2">
      <w:pPr>
        <w:spacing w:after="0" w:line="240" w:lineRule="auto"/>
        <w:jc w:val="both"/>
        <w:rPr>
          <w:rFonts w:ascii="Georgia" w:hAnsi="Georgia"/>
        </w:rPr>
      </w:pPr>
    </w:p>
    <w:p w14:paraId="4D09427F" w14:textId="77777777" w:rsidR="00A60CEF" w:rsidRDefault="00A60CEF" w:rsidP="00A365A2">
      <w:pPr>
        <w:spacing w:after="0" w:line="240" w:lineRule="auto"/>
        <w:jc w:val="both"/>
        <w:rPr>
          <w:rFonts w:ascii="Georgia" w:hAnsi="Georgia"/>
        </w:rPr>
      </w:pPr>
    </w:p>
    <w:p w14:paraId="4009848E" w14:textId="77777777" w:rsidR="00A60CEF" w:rsidRDefault="00A60CEF" w:rsidP="00A365A2">
      <w:pPr>
        <w:spacing w:after="0" w:line="240" w:lineRule="auto"/>
        <w:jc w:val="both"/>
        <w:rPr>
          <w:rFonts w:ascii="Georgia" w:hAnsi="Georgia"/>
        </w:rPr>
      </w:pPr>
    </w:p>
    <w:p w14:paraId="52AE33D6" w14:textId="3FC14465" w:rsidR="00A365A2" w:rsidRPr="004F7347" w:rsidRDefault="00A365A2" w:rsidP="00A365A2">
      <w:pPr>
        <w:spacing w:after="0" w:line="240" w:lineRule="auto"/>
        <w:jc w:val="both"/>
        <w:rPr>
          <w:rFonts w:ascii="Georgia" w:hAnsi="Georgia"/>
        </w:rPr>
      </w:pPr>
    </w:p>
    <w:sectPr w:rsidR="00A365A2" w:rsidRPr="004F7347">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D5B38" w14:textId="77777777" w:rsidR="00004DE9" w:rsidRDefault="00004DE9" w:rsidP="00FB6BF7">
      <w:pPr>
        <w:spacing w:after="0" w:line="240" w:lineRule="auto"/>
      </w:pPr>
      <w:r>
        <w:separator/>
      </w:r>
    </w:p>
  </w:endnote>
  <w:endnote w:type="continuationSeparator" w:id="0">
    <w:p w14:paraId="33850B9A" w14:textId="77777777" w:rsidR="00004DE9" w:rsidRDefault="00004DE9" w:rsidP="00FB6BF7">
      <w:pPr>
        <w:spacing w:after="0" w:line="240" w:lineRule="auto"/>
      </w:pPr>
      <w:r>
        <w:continuationSeparator/>
      </w:r>
    </w:p>
  </w:endnote>
  <w:endnote w:type="continuationNotice" w:id="1">
    <w:p w14:paraId="2ECC8341" w14:textId="77777777" w:rsidR="00004DE9" w:rsidRDefault="00004D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403132"/>
      <w:docPartObj>
        <w:docPartGallery w:val="Page Numbers (Bottom of Page)"/>
        <w:docPartUnique/>
      </w:docPartObj>
    </w:sdtPr>
    <w:sdtEndPr>
      <w:rPr>
        <w:rFonts w:ascii="Georgia" w:hAnsi="Georgia"/>
        <w:noProof/>
        <w:sz w:val="20"/>
        <w:szCs w:val="20"/>
      </w:rPr>
    </w:sdtEndPr>
    <w:sdtContent>
      <w:p w14:paraId="3894DC55" w14:textId="6E453F83" w:rsidR="00FF09E8" w:rsidRPr="00FF09E8" w:rsidRDefault="00FF09E8">
        <w:pPr>
          <w:pStyle w:val="Footer"/>
          <w:jc w:val="right"/>
          <w:rPr>
            <w:rFonts w:ascii="Georgia" w:hAnsi="Georgia"/>
            <w:sz w:val="20"/>
            <w:szCs w:val="20"/>
          </w:rPr>
        </w:pPr>
        <w:r w:rsidRPr="00FF09E8">
          <w:rPr>
            <w:rFonts w:ascii="Georgia" w:hAnsi="Georgia"/>
            <w:sz w:val="20"/>
            <w:szCs w:val="20"/>
          </w:rPr>
          <w:fldChar w:fldCharType="begin"/>
        </w:r>
        <w:r w:rsidRPr="00FF09E8">
          <w:rPr>
            <w:rFonts w:ascii="Georgia" w:hAnsi="Georgia"/>
            <w:sz w:val="20"/>
            <w:szCs w:val="20"/>
          </w:rPr>
          <w:instrText xml:space="preserve"> PAGE   \* MERGEFORMAT </w:instrText>
        </w:r>
        <w:r w:rsidRPr="00FF09E8">
          <w:rPr>
            <w:rFonts w:ascii="Georgia" w:hAnsi="Georgia"/>
            <w:sz w:val="20"/>
            <w:szCs w:val="20"/>
          </w:rPr>
          <w:fldChar w:fldCharType="separate"/>
        </w:r>
        <w:r w:rsidR="00B1423F">
          <w:rPr>
            <w:rFonts w:ascii="Georgia" w:hAnsi="Georgia"/>
            <w:noProof/>
            <w:sz w:val="20"/>
            <w:szCs w:val="20"/>
          </w:rPr>
          <w:t>1</w:t>
        </w:r>
        <w:r w:rsidRPr="00FF09E8">
          <w:rPr>
            <w:rFonts w:ascii="Georgia" w:hAnsi="Georgia"/>
            <w:noProof/>
            <w:sz w:val="20"/>
            <w:szCs w:val="20"/>
          </w:rPr>
          <w:fldChar w:fldCharType="end"/>
        </w:r>
      </w:p>
    </w:sdtContent>
  </w:sdt>
  <w:p w14:paraId="41D57229" w14:textId="77777777" w:rsidR="00FB6BF7" w:rsidRPr="00FB6BF7" w:rsidRDefault="00FB6BF7" w:rsidP="00FB6BF7">
    <w:pPr>
      <w:pStyle w:val="Footer"/>
      <w:jc w:val="center"/>
      <w:rPr>
        <w:rFonts w:ascii="Georgia" w:hAnsi="Georgia"/>
        <w:color w:val="595959" w:themeColor="text1" w:themeTint="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9370D" w14:textId="77777777" w:rsidR="00004DE9" w:rsidRDefault="00004DE9" w:rsidP="00FB6BF7">
      <w:pPr>
        <w:spacing w:after="0" w:line="240" w:lineRule="auto"/>
      </w:pPr>
      <w:r>
        <w:separator/>
      </w:r>
    </w:p>
  </w:footnote>
  <w:footnote w:type="continuationSeparator" w:id="0">
    <w:p w14:paraId="40B894FE" w14:textId="77777777" w:rsidR="00004DE9" w:rsidRDefault="00004DE9" w:rsidP="00FB6BF7">
      <w:pPr>
        <w:spacing w:after="0" w:line="240" w:lineRule="auto"/>
      </w:pPr>
      <w:r>
        <w:continuationSeparator/>
      </w:r>
    </w:p>
  </w:footnote>
  <w:footnote w:type="continuationNotice" w:id="1">
    <w:p w14:paraId="0F50EB21" w14:textId="77777777" w:rsidR="00004DE9" w:rsidRDefault="00004D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6D7A" w14:textId="77777777" w:rsidR="00FB6BF7" w:rsidRDefault="00FB6BF7" w:rsidP="00FB6BF7">
    <w:pPr>
      <w:pStyle w:val="Footer"/>
      <w:rPr>
        <w:rFonts w:ascii="Georgia" w:hAnsi="Georgia"/>
      </w:rPr>
    </w:pPr>
    <w:bookmarkStart w:id="4" w:name="_Hlk171196758"/>
    <w:r w:rsidRPr="00FB6BF7">
      <w:rPr>
        <w:rFonts w:ascii="Georgia" w:hAnsi="Georgia"/>
        <w:noProof/>
      </w:rPr>
      <w:drawing>
        <wp:anchor distT="0" distB="0" distL="114300" distR="114300" simplePos="0" relativeHeight="251658240" behindDoc="1" locked="0" layoutInCell="1" allowOverlap="1" wp14:anchorId="17D5615A" wp14:editId="471F6348">
          <wp:simplePos x="0" y="0"/>
          <wp:positionH relativeFrom="margin">
            <wp:align>left</wp:align>
          </wp:positionH>
          <wp:positionV relativeFrom="paragraph">
            <wp:posOffset>-196215</wp:posOffset>
          </wp:positionV>
          <wp:extent cx="774700" cy="1152525"/>
          <wp:effectExtent l="0" t="0" r="6350" b="9525"/>
          <wp:wrapTight wrapText="bothSides">
            <wp:wrapPolygon edited="0">
              <wp:start x="0" y="0"/>
              <wp:lineTo x="0" y="21421"/>
              <wp:lineTo x="21246" y="21421"/>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oridaTrustLogoLockUp_High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700" cy="1152525"/>
                  </a:xfrm>
                  <a:prstGeom prst="rect">
                    <a:avLst/>
                  </a:prstGeom>
                </pic:spPr>
              </pic:pic>
            </a:graphicData>
          </a:graphic>
          <wp14:sizeRelH relativeFrom="margin">
            <wp14:pctWidth>0</wp14:pctWidth>
          </wp14:sizeRelH>
          <wp14:sizeRelV relativeFrom="margin">
            <wp14:pctHeight>0</wp14:pctHeight>
          </wp14:sizeRelV>
        </wp:anchor>
      </w:drawing>
    </w:r>
  </w:p>
  <w:p w14:paraId="3189D157" w14:textId="77777777" w:rsidR="00FB6BF7" w:rsidRDefault="00FB6BF7" w:rsidP="00FB6BF7">
    <w:pPr>
      <w:pStyle w:val="Footer"/>
      <w:ind w:left="1530"/>
      <w:rPr>
        <w:rFonts w:ascii="Georgia" w:hAnsi="Georgia"/>
        <w:color w:val="595959" w:themeColor="text1" w:themeTint="A6"/>
      </w:rPr>
    </w:pPr>
  </w:p>
  <w:p w14:paraId="0F30BF5D" w14:textId="77777777" w:rsidR="00FB6BF7" w:rsidRPr="00FB6BF7" w:rsidRDefault="00FB6BF7" w:rsidP="00FB6BF7">
    <w:pPr>
      <w:pStyle w:val="Footer"/>
      <w:ind w:left="1530"/>
      <w:rPr>
        <w:rFonts w:ascii="Georgia" w:hAnsi="Georgia"/>
        <w:color w:val="595959" w:themeColor="text1" w:themeTint="A6"/>
      </w:rPr>
    </w:pPr>
    <w:r w:rsidRPr="00FB6BF7">
      <w:rPr>
        <w:rFonts w:ascii="Georgia" w:hAnsi="Georgia"/>
        <w:color w:val="595959" w:themeColor="text1" w:themeTint="A6"/>
      </w:rPr>
      <w:t>Florida Trust for Historic Preservation</w:t>
    </w:r>
  </w:p>
  <w:p w14:paraId="5C2A1492" w14:textId="4F8D2C33" w:rsidR="00FB6BF7" w:rsidRPr="00FB6BF7" w:rsidRDefault="00225F75" w:rsidP="00FB6BF7">
    <w:pPr>
      <w:pStyle w:val="Footer"/>
      <w:ind w:left="1530"/>
      <w:rPr>
        <w:rFonts w:ascii="Georgia" w:hAnsi="Georgia"/>
        <w:color w:val="595959" w:themeColor="text1" w:themeTint="A6"/>
      </w:rPr>
    </w:pPr>
    <w:r>
      <w:rPr>
        <w:rFonts w:ascii="Georgia" w:hAnsi="Georgia"/>
        <w:color w:val="595959" w:themeColor="text1" w:themeTint="A6"/>
      </w:rPr>
      <w:t>906 E Park Ave.</w:t>
    </w:r>
    <w:r w:rsidR="00FB6BF7" w:rsidRPr="00FB6BF7">
      <w:rPr>
        <w:rFonts w:ascii="Georgia" w:hAnsi="Georgia"/>
        <w:color w:val="595959" w:themeColor="text1" w:themeTint="A6"/>
      </w:rPr>
      <w:t xml:space="preserve"> Tallahassee, Florida 3230</w:t>
    </w:r>
    <w:r w:rsidR="00101C44">
      <w:rPr>
        <w:rFonts w:ascii="Georgia" w:hAnsi="Georgia"/>
        <w:color w:val="595959" w:themeColor="text1" w:themeTint="A6"/>
      </w:rPr>
      <w:t>1</w:t>
    </w:r>
  </w:p>
  <w:p w14:paraId="5564114F" w14:textId="77777777" w:rsidR="00FB6BF7" w:rsidRPr="00FB6BF7" w:rsidRDefault="00FB6BF7" w:rsidP="00FB6BF7">
    <w:pPr>
      <w:pStyle w:val="Footer"/>
      <w:ind w:left="1530"/>
      <w:rPr>
        <w:rFonts w:ascii="Georgia" w:hAnsi="Georgia"/>
        <w:color w:val="595959" w:themeColor="text1" w:themeTint="A6"/>
      </w:rPr>
    </w:pPr>
    <w:r w:rsidRPr="00FB6BF7">
      <w:rPr>
        <w:rFonts w:ascii="Georgia" w:hAnsi="Georgia"/>
        <w:color w:val="595959" w:themeColor="text1" w:themeTint="A6"/>
      </w:rPr>
      <w:t xml:space="preserve">(850) 224-8128 </w:t>
    </w:r>
  </w:p>
  <w:bookmarkEnd w:id="4"/>
  <w:p w14:paraId="7AF8EF98" w14:textId="77777777" w:rsidR="00FB6BF7" w:rsidRDefault="00FB6BF7" w:rsidP="00FB6BF7">
    <w:pPr>
      <w:pStyle w:val="Header"/>
      <w:ind w:left="1530"/>
      <w:rPr>
        <w:color w:val="595959" w:themeColor="text1" w:themeTint="A6"/>
      </w:rPr>
    </w:pPr>
  </w:p>
  <w:p w14:paraId="3B0C89A3" w14:textId="77777777" w:rsidR="00B543D8" w:rsidRDefault="00B543D8" w:rsidP="00FB6BF7">
    <w:pPr>
      <w:pStyle w:val="Header"/>
      <w:ind w:left="1530"/>
      <w:rPr>
        <w:color w:val="595959" w:themeColor="text1" w:themeTint="A6"/>
      </w:rPr>
    </w:pPr>
  </w:p>
  <w:p w14:paraId="6B090FF3" w14:textId="77777777" w:rsidR="00AB4B40" w:rsidRPr="00FB6BF7" w:rsidRDefault="00AB4B40" w:rsidP="00FB6BF7">
    <w:pPr>
      <w:pStyle w:val="Header"/>
      <w:ind w:left="1530"/>
      <w:rPr>
        <w:color w:val="595959" w:themeColor="text1" w:themeTint="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531B"/>
    <w:multiLevelType w:val="hybridMultilevel"/>
    <w:tmpl w:val="16644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096B00"/>
    <w:multiLevelType w:val="hybridMultilevel"/>
    <w:tmpl w:val="7F2E8E7C"/>
    <w:lvl w:ilvl="0" w:tplc="CFCC47A0">
      <w:start w:val="1"/>
      <w:numFmt w:val="bullet"/>
      <w:lvlText w:val="•"/>
      <w:lvlJc w:val="left"/>
      <w:pPr>
        <w:tabs>
          <w:tab w:val="num" w:pos="720"/>
        </w:tabs>
        <w:ind w:left="720" w:hanging="360"/>
      </w:pPr>
      <w:rPr>
        <w:rFonts w:ascii="Arial" w:hAnsi="Arial" w:hint="default"/>
      </w:rPr>
    </w:lvl>
    <w:lvl w:ilvl="1" w:tplc="348C4400" w:tentative="1">
      <w:start w:val="1"/>
      <w:numFmt w:val="bullet"/>
      <w:lvlText w:val="•"/>
      <w:lvlJc w:val="left"/>
      <w:pPr>
        <w:tabs>
          <w:tab w:val="num" w:pos="1440"/>
        </w:tabs>
        <w:ind w:left="1440" w:hanging="360"/>
      </w:pPr>
      <w:rPr>
        <w:rFonts w:ascii="Arial" w:hAnsi="Arial" w:hint="default"/>
      </w:rPr>
    </w:lvl>
    <w:lvl w:ilvl="2" w:tplc="27A0A8C8" w:tentative="1">
      <w:start w:val="1"/>
      <w:numFmt w:val="bullet"/>
      <w:lvlText w:val="•"/>
      <w:lvlJc w:val="left"/>
      <w:pPr>
        <w:tabs>
          <w:tab w:val="num" w:pos="2160"/>
        </w:tabs>
        <w:ind w:left="2160" w:hanging="360"/>
      </w:pPr>
      <w:rPr>
        <w:rFonts w:ascii="Arial" w:hAnsi="Arial" w:hint="default"/>
      </w:rPr>
    </w:lvl>
    <w:lvl w:ilvl="3" w:tplc="98F45AAC" w:tentative="1">
      <w:start w:val="1"/>
      <w:numFmt w:val="bullet"/>
      <w:lvlText w:val="•"/>
      <w:lvlJc w:val="left"/>
      <w:pPr>
        <w:tabs>
          <w:tab w:val="num" w:pos="2880"/>
        </w:tabs>
        <w:ind w:left="2880" w:hanging="360"/>
      </w:pPr>
      <w:rPr>
        <w:rFonts w:ascii="Arial" w:hAnsi="Arial" w:hint="default"/>
      </w:rPr>
    </w:lvl>
    <w:lvl w:ilvl="4" w:tplc="F272BF8C" w:tentative="1">
      <w:start w:val="1"/>
      <w:numFmt w:val="bullet"/>
      <w:lvlText w:val="•"/>
      <w:lvlJc w:val="left"/>
      <w:pPr>
        <w:tabs>
          <w:tab w:val="num" w:pos="3600"/>
        </w:tabs>
        <w:ind w:left="3600" w:hanging="360"/>
      </w:pPr>
      <w:rPr>
        <w:rFonts w:ascii="Arial" w:hAnsi="Arial" w:hint="default"/>
      </w:rPr>
    </w:lvl>
    <w:lvl w:ilvl="5" w:tplc="11949C88" w:tentative="1">
      <w:start w:val="1"/>
      <w:numFmt w:val="bullet"/>
      <w:lvlText w:val="•"/>
      <w:lvlJc w:val="left"/>
      <w:pPr>
        <w:tabs>
          <w:tab w:val="num" w:pos="4320"/>
        </w:tabs>
        <w:ind w:left="4320" w:hanging="360"/>
      </w:pPr>
      <w:rPr>
        <w:rFonts w:ascii="Arial" w:hAnsi="Arial" w:hint="default"/>
      </w:rPr>
    </w:lvl>
    <w:lvl w:ilvl="6" w:tplc="828C9D7E" w:tentative="1">
      <w:start w:val="1"/>
      <w:numFmt w:val="bullet"/>
      <w:lvlText w:val="•"/>
      <w:lvlJc w:val="left"/>
      <w:pPr>
        <w:tabs>
          <w:tab w:val="num" w:pos="5040"/>
        </w:tabs>
        <w:ind w:left="5040" w:hanging="360"/>
      </w:pPr>
      <w:rPr>
        <w:rFonts w:ascii="Arial" w:hAnsi="Arial" w:hint="default"/>
      </w:rPr>
    </w:lvl>
    <w:lvl w:ilvl="7" w:tplc="6772D62A" w:tentative="1">
      <w:start w:val="1"/>
      <w:numFmt w:val="bullet"/>
      <w:lvlText w:val="•"/>
      <w:lvlJc w:val="left"/>
      <w:pPr>
        <w:tabs>
          <w:tab w:val="num" w:pos="5760"/>
        </w:tabs>
        <w:ind w:left="5760" w:hanging="360"/>
      </w:pPr>
      <w:rPr>
        <w:rFonts w:ascii="Arial" w:hAnsi="Arial" w:hint="default"/>
      </w:rPr>
    </w:lvl>
    <w:lvl w:ilvl="8" w:tplc="9E1C35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1FB25DB"/>
    <w:multiLevelType w:val="hybridMultilevel"/>
    <w:tmpl w:val="EA987CC2"/>
    <w:lvl w:ilvl="0" w:tplc="BC8E2ED8">
      <w:start w:val="1"/>
      <w:numFmt w:val="bullet"/>
      <w:lvlText w:val="•"/>
      <w:lvlJc w:val="left"/>
      <w:pPr>
        <w:tabs>
          <w:tab w:val="num" w:pos="720"/>
        </w:tabs>
        <w:ind w:left="720" w:hanging="360"/>
      </w:pPr>
      <w:rPr>
        <w:rFonts w:ascii="Arial" w:hAnsi="Arial" w:hint="default"/>
      </w:rPr>
    </w:lvl>
    <w:lvl w:ilvl="1" w:tplc="75F6C086" w:tentative="1">
      <w:start w:val="1"/>
      <w:numFmt w:val="bullet"/>
      <w:lvlText w:val="•"/>
      <w:lvlJc w:val="left"/>
      <w:pPr>
        <w:tabs>
          <w:tab w:val="num" w:pos="1440"/>
        </w:tabs>
        <w:ind w:left="1440" w:hanging="360"/>
      </w:pPr>
      <w:rPr>
        <w:rFonts w:ascii="Arial" w:hAnsi="Arial" w:hint="default"/>
      </w:rPr>
    </w:lvl>
    <w:lvl w:ilvl="2" w:tplc="8CB8D8E4" w:tentative="1">
      <w:start w:val="1"/>
      <w:numFmt w:val="bullet"/>
      <w:lvlText w:val="•"/>
      <w:lvlJc w:val="left"/>
      <w:pPr>
        <w:tabs>
          <w:tab w:val="num" w:pos="2160"/>
        </w:tabs>
        <w:ind w:left="2160" w:hanging="360"/>
      </w:pPr>
      <w:rPr>
        <w:rFonts w:ascii="Arial" w:hAnsi="Arial" w:hint="default"/>
      </w:rPr>
    </w:lvl>
    <w:lvl w:ilvl="3" w:tplc="5A96BCFA" w:tentative="1">
      <w:start w:val="1"/>
      <w:numFmt w:val="bullet"/>
      <w:lvlText w:val="•"/>
      <w:lvlJc w:val="left"/>
      <w:pPr>
        <w:tabs>
          <w:tab w:val="num" w:pos="2880"/>
        </w:tabs>
        <w:ind w:left="2880" w:hanging="360"/>
      </w:pPr>
      <w:rPr>
        <w:rFonts w:ascii="Arial" w:hAnsi="Arial" w:hint="default"/>
      </w:rPr>
    </w:lvl>
    <w:lvl w:ilvl="4" w:tplc="7C3A35DA" w:tentative="1">
      <w:start w:val="1"/>
      <w:numFmt w:val="bullet"/>
      <w:lvlText w:val="•"/>
      <w:lvlJc w:val="left"/>
      <w:pPr>
        <w:tabs>
          <w:tab w:val="num" w:pos="3600"/>
        </w:tabs>
        <w:ind w:left="3600" w:hanging="360"/>
      </w:pPr>
      <w:rPr>
        <w:rFonts w:ascii="Arial" w:hAnsi="Arial" w:hint="default"/>
      </w:rPr>
    </w:lvl>
    <w:lvl w:ilvl="5" w:tplc="7D2A4650" w:tentative="1">
      <w:start w:val="1"/>
      <w:numFmt w:val="bullet"/>
      <w:lvlText w:val="•"/>
      <w:lvlJc w:val="left"/>
      <w:pPr>
        <w:tabs>
          <w:tab w:val="num" w:pos="4320"/>
        </w:tabs>
        <w:ind w:left="4320" w:hanging="360"/>
      </w:pPr>
      <w:rPr>
        <w:rFonts w:ascii="Arial" w:hAnsi="Arial" w:hint="default"/>
      </w:rPr>
    </w:lvl>
    <w:lvl w:ilvl="6" w:tplc="F6E8C914" w:tentative="1">
      <w:start w:val="1"/>
      <w:numFmt w:val="bullet"/>
      <w:lvlText w:val="•"/>
      <w:lvlJc w:val="left"/>
      <w:pPr>
        <w:tabs>
          <w:tab w:val="num" w:pos="5040"/>
        </w:tabs>
        <w:ind w:left="5040" w:hanging="360"/>
      </w:pPr>
      <w:rPr>
        <w:rFonts w:ascii="Arial" w:hAnsi="Arial" w:hint="default"/>
      </w:rPr>
    </w:lvl>
    <w:lvl w:ilvl="7" w:tplc="B9428AA0" w:tentative="1">
      <w:start w:val="1"/>
      <w:numFmt w:val="bullet"/>
      <w:lvlText w:val="•"/>
      <w:lvlJc w:val="left"/>
      <w:pPr>
        <w:tabs>
          <w:tab w:val="num" w:pos="5760"/>
        </w:tabs>
        <w:ind w:left="5760" w:hanging="360"/>
      </w:pPr>
      <w:rPr>
        <w:rFonts w:ascii="Arial" w:hAnsi="Arial" w:hint="default"/>
      </w:rPr>
    </w:lvl>
    <w:lvl w:ilvl="8" w:tplc="84A882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3AE4D9C"/>
    <w:multiLevelType w:val="hybridMultilevel"/>
    <w:tmpl w:val="4D58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775147"/>
    <w:multiLevelType w:val="hybridMultilevel"/>
    <w:tmpl w:val="C39A9302"/>
    <w:lvl w:ilvl="0" w:tplc="49CA427E">
      <w:start w:val="1"/>
      <w:numFmt w:val="bullet"/>
      <w:lvlText w:val="•"/>
      <w:lvlJc w:val="left"/>
      <w:pPr>
        <w:tabs>
          <w:tab w:val="num" w:pos="720"/>
        </w:tabs>
        <w:ind w:left="720" w:hanging="360"/>
      </w:pPr>
      <w:rPr>
        <w:rFonts w:ascii="Arial" w:hAnsi="Arial" w:hint="default"/>
      </w:rPr>
    </w:lvl>
    <w:lvl w:ilvl="1" w:tplc="5346FD9A" w:tentative="1">
      <w:start w:val="1"/>
      <w:numFmt w:val="bullet"/>
      <w:lvlText w:val="•"/>
      <w:lvlJc w:val="left"/>
      <w:pPr>
        <w:tabs>
          <w:tab w:val="num" w:pos="1440"/>
        </w:tabs>
        <w:ind w:left="1440" w:hanging="360"/>
      </w:pPr>
      <w:rPr>
        <w:rFonts w:ascii="Arial" w:hAnsi="Arial" w:hint="default"/>
      </w:rPr>
    </w:lvl>
    <w:lvl w:ilvl="2" w:tplc="9DD6AE3E" w:tentative="1">
      <w:start w:val="1"/>
      <w:numFmt w:val="bullet"/>
      <w:lvlText w:val="•"/>
      <w:lvlJc w:val="left"/>
      <w:pPr>
        <w:tabs>
          <w:tab w:val="num" w:pos="2160"/>
        </w:tabs>
        <w:ind w:left="2160" w:hanging="360"/>
      </w:pPr>
      <w:rPr>
        <w:rFonts w:ascii="Arial" w:hAnsi="Arial" w:hint="default"/>
      </w:rPr>
    </w:lvl>
    <w:lvl w:ilvl="3" w:tplc="2A44BB04" w:tentative="1">
      <w:start w:val="1"/>
      <w:numFmt w:val="bullet"/>
      <w:lvlText w:val="•"/>
      <w:lvlJc w:val="left"/>
      <w:pPr>
        <w:tabs>
          <w:tab w:val="num" w:pos="2880"/>
        </w:tabs>
        <w:ind w:left="2880" w:hanging="360"/>
      </w:pPr>
      <w:rPr>
        <w:rFonts w:ascii="Arial" w:hAnsi="Arial" w:hint="default"/>
      </w:rPr>
    </w:lvl>
    <w:lvl w:ilvl="4" w:tplc="166EDD64" w:tentative="1">
      <w:start w:val="1"/>
      <w:numFmt w:val="bullet"/>
      <w:lvlText w:val="•"/>
      <w:lvlJc w:val="left"/>
      <w:pPr>
        <w:tabs>
          <w:tab w:val="num" w:pos="3600"/>
        </w:tabs>
        <w:ind w:left="3600" w:hanging="360"/>
      </w:pPr>
      <w:rPr>
        <w:rFonts w:ascii="Arial" w:hAnsi="Arial" w:hint="default"/>
      </w:rPr>
    </w:lvl>
    <w:lvl w:ilvl="5" w:tplc="EC68158A" w:tentative="1">
      <w:start w:val="1"/>
      <w:numFmt w:val="bullet"/>
      <w:lvlText w:val="•"/>
      <w:lvlJc w:val="left"/>
      <w:pPr>
        <w:tabs>
          <w:tab w:val="num" w:pos="4320"/>
        </w:tabs>
        <w:ind w:left="4320" w:hanging="360"/>
      </w:pPr>
      <w:rPr>
        <w:rFonts w:ascii="Arial" w:hAnsi="Arial" w:hint="default"/>
      </w:rPr>
    </w:lvl>
    <w:lvl w:ilvl="6" w:tplc="A67C9546" w:tentative="1">
      <w:start w:val="1"/>
      <w:numFmt w:val="bullet"/>
      <w:lvlText w:val="•"/>
      <w:lvlJc w:val="left"/>
      <w:pPr>
        <w:tabs>
          <w:tab w:val="num" w:pos="5040"/>
        </w:tabs>
        <w:ind w:left="5040" w:hanging="360"/>
      </w:pPr>
      <w:rPr>
        <w:rFonts w:ascii="Arial" w:hAnsi="Arial" w:hint="default"/>
      </w:rPr>
    </w:lvl>
    <w:lvl w:ilvl="7" w:tplc="200E362C" w:tentative="1">
      <w:start w:val="1"/>
      <w:numFmt w:val="bullet"/>
      <w:lvlText w:val="•"/>
      <w:lvlJc w:val="left"/>
      <w:pPr>
        <w:tabs>
          <w:tab w:val="num" w:pos="5760"/>
        </w:tabs>
        <w:ind w:left="5760" w:hanging="360"/>
      </w:pPr>
      <w:rPr>
        <w:rFonts w:ascii="Arial" w:hAnsi="Arial" w:hint="default"/>
      </w:rPr>
    </w:lvl>
    <w:lvl w:ilvl="8" w:tplc="97C2528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BF42559"/>
    <w:multiLevelType w:val="multilevel"/>
    <w:tmpl w:val="E2661F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5183935">
    <w:abstractNumId w:val="0"/>
  </w:num>
  <w:num w:numId="2" w16cid:durableId="573783710">
    <w:abstractNumId w:val="3"/>
  </w:num>
  <w:num w:numId="3" w16cid:durableId="1025642144">
    <w:abstractNumId w:val="4"/>
  </w:num>
  <w:num w:numId="4" w16cid:durableId="1992250715">
    <w:abstractNumId w:val="2"/>
  </w:num>
  <w:num w:numId="5" w16cid:durableId="707411909">
    <w:abstractNumId w:val="1"/>
  </w:num>
  <w:num w:numId="6" w16cid:durableId="2032368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BF7"/>
    <w:rsid w:val="00001C3E"/>
    <w:rsid w:val="00001C62"/>
    <w:rsid w:val="00004DE9"/>
    <w:rsid w:val="00005724"/>
    <w:rsid w:val="0001218E"/>
    <w:rsid w:val="000168EE"/>
    <w:rsid w:val="00020C0B"/>
    <w:rsid w:val="00022D4D"/>
    <w:rsid w:val="0004414E"/>
    <w:rsid w:val="00046DD5"/>
    <w:rsid w:val="000572DC"/>
    <w:rsid w:val="000601C3"/>
    <w:rsid w:val="0006056D"/>
    <w:rsid w:val="000708F8"/>
    <w:rsid w:val="00074468"/>
    <w:rsid w:val="000764BB"/>
    <w:rsid w:val="00083E31"/>
    <w:rsid w:val="00085A95"/>
    <w:rsid w:val="00090B76"/>
    <w:rsid w:val="00091E8F"/>
    <w:rsid w:val="00093480"/>
    <w:rsid w:val="00093685"/>
    <w:rsid w:val="00094CCA"/>
    <w:rsid w:val="000A0AD6"/>
    <w:rsid w:val="000A241F"/>
    <w:rsid w:val="000A385C"/>
    <w:rsid w:val="000A4C04"/>
    <w:rsid w:val="000A51D6"/>
    <w:rsid w:val="000A7B2D"/>
    <w:rsid w:val="000A7F82"/>
    <w:rsid w:val="000B22AD"/>
    <w:rsid w:val="000B2318"/>
    <w:rsid w:val="000B6815"/>
    <w:rsid w:val="000C11A4"/>
    <w:rsid w:val="000C4C8F"/>
    <w:rsid w:val="000C6AF9"/>
    <w:rsid w:val="000D4806"/>
    <w:rsid w:val="000D54FE"/>
    <w:rsid w:val="000D6784"/>
    <w:rsid w:val="000E1747"/>
    <w:rsid w:val="000E267C"/>
    <w:rsid w:val="000E4E0E"/>
    <w:rsid w:val="000E57F5"/>
    <w:rsid w:val="000F4EB7"/>
    <w:rsid w:val="00101C44"/>
    <w:rsid w:val="00104CDA"/>
    <w:rsid w:val="0010738D"/>
    <w:rsid w:val="001108A5"/>
    <w:rsid w:val="001131BD"/>
    <w:rsid w:val="00114FDA"/>
    <w:rsid w:val="00116481"/>
    <w:rsid w:val="00120E14"/>
    <w:rsid w:val="0012151B"/>
    <w:rsid w:val="001236BE"/>
    <w:rsid w:val="00124A41"/>
    <w:rsid w:val="00134CFC"/>
    <w:rsid w:val="00135582"/>
    <w:rsid w:val="001444B7"/>
    <w:rsid w:val="00146A94"/>
    <w:rsid w:val="001607CA"/>
    <w:rsid w:val="001608F4"/>
    <w:rsid w:val="00164F70"/>
    <w:rsid w:val="001713D0"/>
    <w:rsid w:val="001728CC"/>
    <w:rsid w:val="0017310C"/>
    <w:rsid w:val="001734BA"/>
    <w:rsid w:val="0017364E"/>
    <w:rsid w:val="0018489A"/>
    <w:rsid w:val="00187D86"/>
    <w:rsid w:val="0019003B"/>
    <w:rsid w:val="00191B89"/>
    <w:rsid w:val="00194F74"/>
    <w:rsid w:val="001A1D62"/>
    <w:rsid w:val="001B0499"/>
    <w:rsid w:val="001B0F8B"/>
    <w:rsid w:val="001B2F93"/>
    <w:rsid w:val="001C1E65"/>
    <w:rsid w:val="001C525B"/>
    <w:rsid w:val="001C7BCE"/>
    <w:rsid w:val="001D3FBB"/>
    <w:rsid w:val="001E611D"/>
    <w:rsid w:val="001E7F23"/>
    <w:rsid w:val="001F141A"/>
    <w:rsid w:val="001F4D08"/>
    <w:rsid w:val="002013BC"/>
    <w:rsid w:val="002114EC"/>
    <w:rsid w:val="002119EF"/>
    <w:rsid w:val="002143D5"/>
    <w:rsid w:val="00215C3D"/>
    <w:rsid w:val="00215F90"/>
    <w:rsid w:val="002237E7"/>
    <w:rsid w:val="00225908"/>
    <w:rsid w:val="00225F75"/>
    <w:rsid w:val="002309E7"/>
    <w:rsid w:val="00235B9A"/>
    <w:rsid w:val="00236E36"/>
    <w:rsid w:val="00246268"/>
    <w:rsid w:val="00246B40"/>
    <w:rsid w:val="00263F4E"/>
    <w:rsid w:val="00270E3C"/>
    <w:rsid w:val="00272813"/>
    <w:rsid w:val="00273113"/>
    <w:rsid w:val="002801D1"/>
    <w:rsid w:val="00282159"/>
    <w:rsid w:val="002964CE"/>
    <w:rsid w:val="0029701F"/>
    <w:rsid w:val="00297C9A"/>
    <w:rsid w:val="002B0EC9"/>
    <w:rsid w:val="002B1B86"/>
    <w:rsid w:val="002B3E46"/>
    <w:rsid w:val="002B677C"/>
    <w:rsid w:val="002C084F"/>
    <w:rsid w:val="002C19F0"/>
    <w:rsid w:val="002C2392"/>
    <w:rsid w:val="002C5CF6"/>
    <w:rsid w:val="002C5FE2"/>
    <w:rsid w:val="002D04A5"/>
    <w:rsid w:val="002D1559"/>
    <w:rsid w:val="002D6625"/>
    <w:rsid w:val="002D7A1B"/>
    <w:rsid w:val="002E0F6D"/>
    <w:rsid w:val="002F031E"/>
    <w:rsid w:val="002F7F38"/>
    <w:rsid w:val="003026E5"/>
    <w:rsid w:val="00306747"/>
    <w:rsid w:val="0030741E"/>
    <w:rsid w:val="0030753C"/>
    <w:rsid w:val="00310E53"/>
    <w:rsid w:val="00317BF7"/>
    <w:rsid w:val="003215D8"/>
    <w:rsid w:val="00321628"/>
    <w:rsid w:val="00323535"/>
    <w:rsid w:val="0032430F"/>
    <w:rsid w:val="00326516"/>
    <w:rsid w:val="00347663"/>
    <w:rsid w:val="00347743"/>
    <w:rsid w:val="003508EE"/>
    <w:rsid w:val="0035144E"/>
    <w:rsid w:val="00353918"/>
    <w:rsid w:val="00356B17"/>
    <w:rsid w:val="0035764A"/>
    <w:rsid w:val="00361470"/>
    <w:rsid w:val="003659CA"/>
    <w:rsid w:val="00367B58"/>
    <w:rsid w:val="00370C69"/>
    <w:rsid w:val="00374FD4"/>
    <w:rsid w:val="00380FCC"/>
    <w:rsid w:val="00382D25"/>
    <w:rsid w:val="00383168"/>
    <w:rsid w:val="00385B7A"/>
    <w:rsid w:val="00387BC9"/>
    <w:rsid w:val="003909CC"/>
    <w:rsid w:val="00394FD1"/>
    <w:rsid w:val="00397225"/>
    <w:rsid w:val="003A135E"/>
    <w:rsid w:val="003A7B85"/>
    <w:rsid w:val="003B046B"/>
    <w:rsid w:val="003B1F6D"/>
    <w:rsid w:val="003B40F6"/>
    <w:rsid w:val="003B51EA"/>
    <w:rsid w:val="003B57C9"/>
    <w:rsid w:val="003B64B6"/>
    <w:rsid w:val="003C1200"/>
    <w:rsid w:val="003C66D4"/>
    <w:rsid w:val="003C70A2"/>
    <w:rsid w:val="003D4A17"/>
    <w:rsid w:val="003D60EA"/>
    <w:rsid w:val="003F0097"/>
    <w:rsid w:val="003F045D"/>
    <w:rsid w:val="003F2EC4"/>
    <w:rsid w:val="00401AB5"/>
    <w:rsid w:val="00401C31"/>
    <w:rsid w:val="00402F1A"/>
    <w:rsid w:val="00403C28"/>
    <w:rsid w:val="00403DC6"/>
    <w:rsid w:val="00413D43"/>
    <w:rsid w:val="004162FB"/>
    <w:rsid w:val="004167B1"/>
    <w:rsid w:val="00417C3C"/>
    <w:rsid w:val="00420EAC"/>
    <w:rsid w:val="00421E90"/>
    <w:rsid w:val="00430BE9"/>
    <w:rsid w:val="00436915"/>
    <w:rsid w:val="00436EF7"/>
    <w:rsid w:val="0044054D"/>
    <w:rsid w:val="004435B7"/>
    <w:rsid w:val="00450725"/>
    <w:rsid w:val="00453C3F"/>
    <w:rsid w:val="004544F9"/>
    <w:rsid w:val="00457640"/>
    <w:rsid w:val="004612E3"/>
    <w:rsid w:val="00462141"/>
    <w:rsid w:val="004632BA"/>
    <w:rsid w:val="0046469D"/>
    <w:rsid w:val="00464BD3"/>
    <w:rsid w:val="00466F48"/>
    <w:rsid w:val="00471BD8"/>
    <w:rsid w:val="00473683"/>
    <w:rsid w:val="004742DF"/>
    <w:rsid w:val="004770C5"/>
    <w:rsid w:val="00480D3F"/>
    <w:rsid w:val="00481551"/>
    <w:rsid w:val="00484318"/>
    <w:rsid w:val="0048625A"/>
    <w:rsid w:val="004868CD"/>
    <w:rsid w:val="00492B2B"/>
    <w:rsid w:val="00493B36"/>
    <w:rsid w:val="00496564"/>
    <w:rsid w:val="00497A2A"/>
    <w:rsid w:val="004A174A"/>
    <w:rsid w:val="004A6F31"/>
    <w:rsid w:val="004A7F28"/>
    <w:rsid w:val="004B2BE2"/>
    <w:rsid w:val="004B6B7A"/>
    <w:rsid w:val="004C0166"/>
    <w:rsid w:val="004C2CCB"/>
    <w:rsid w:val="004C6E17"/>
    <w:rsid w:val="004D11EE"/>
    <w:rsid w:val="004D19BD"/>
    <w:rsid w:val="004D2905"/>
    <w:rsid w:val="004D44BD"/>
    <w:rsid w:val="004D6A9E"/>
    <w:rsid w:val="004E3457"/>
    <w:rsid w:val="004E75D2"/>
    <w:rsid w:val="004F1A94"/>
    <w:rsid w:val="004F6143"/>
    <w:rsid w:val="004F7347"/>
    <w:rsid w:val="004F7F7A"/>
    <w:rsid w:val="005020EF"/>
    <w:rsid w:val="005052F3"/>
    <w:rsid w:val="00505D46"/>
    <w:rsid w:val="0050671E"/>
    <w:rsid w:val="00510284"/>
    <w:rsid w:val="005159EC"/>
    <w:rsid w:val="00515DD0"/>
    <w:rsid w:val="0052433B"/>
    <w:rsid w:val="00524D9F"/>
    <w:rsid w:val="00527127"/>
    <w:rsid w:val="00527ACC"/>
    <w:rsid w:val="005328D0"/>
    <w:rsid w:val="00532CA4"/>
    <w:rsid w:val="00532F6A"/>
    <w:rsid w:val="00542B51"/>
    <w:rsid w:val="00544467"/>
    <w:rsid w:val="00551D2E"/>
    <w:rsid w:val="00562C17"/>
    <w:rsid w:val="00564EC7"/>
    <w:rsid w:val="005652DD"/>
    <w:rsid w:val="00565FF6"/>
    <w:rsid w:val="00573036"/>
    <w:rsid w:val="005A2FF4"/>
    <w:rsid w:val="005A3B10"/>
    <w:rsid w:val="005A6BB8"/>
    <w:rsid w:val="005A755D"/>
    <w:rsid w:val="005B06B4"/>
    <w:rsid w:val="005B4441"/>
    <w:rsid w:val="005B7634"/>
    <w:rsid w:val="005C1E11"/>
    <w:rsid w:val="005C316C"/>
    <w:rsid w:val="005C59A4"/>
    <w:rsid w:val="005C65A2"/>
    <w:rsid w:val="005C70D1"/>
    <w:rsid w:val="005D0605"/>
    <w:rsid w:val="005D71D5"/>
    <w:rsid w:val="005F248F"/>
    <w:rsid w:val="005F58D5"/>
    <w:rsid w:val="005F6D40"/>
    <w:rsid w:val="006060FD"/>
    <w:rsid w:val="00610A31"/>
    <w:rsid w:val="00613F8B"/>
    <w:rsid w:val="00620FD5"/>
    <w:rsid w:val="00622AA0"/>
    <w:rsid w:val="006247DE"/>
    <w:rsid w:val="00624BB9"/>
    <w:rsid w:val="00643784"/>
    <w:rsid w:val="00643A7C"/>
    <w:rsid w:val="00644D85"/>
    <w:rsid w:val="00645AF7"/>
    <w:rsid w:val="00656AD5"/>
    <w:rsid w:val="0066092B"/>
    <w:rsid w:val="0066227B"/>
    <w:rsid w:val="00662555"/>
    <w:rsid w:val="006637F6"/>
    <w:rsid w:val="00664BBC"/>
    <w:rsid w:val="006679B8"/>
    <w:rsid w:val="006727FE"/>
    <w:rsid w:val="0067507E"/>
    <w:rsid w:val="0067582E"/>
    <w:rsid w:val="006767F6"/>
    <w:rsid w:val="00677246"/>
    <w:rsid w:val="00677D73"/>
    <w:rsid w:val="006836AE"/>
    <w:rsid w:val="00692E83"/>
    <w:rsid w:val="0069421D"/>
    <w:rsid w:val="00694EDE"/>
    <w:rsid w:val="006A09CB"/>
    <w:rsid w:val="006A2640"/>
    <w:rsid w:val="006A7587"/>
    <w:rsid w:val="006C0327"/>
    <w:rsid w:val="006C3E2D"/>
    <w:rsid w:val="006C6C98"/>
    <w:rsid w:val="006D346F"/>
    <w:rsid w:val="006D3985"/>
    <w:rsid w:val="006D3CA2"/>
    <w:rsid w:val="006D6710"/>
    <w:rsid w:val="006E7D4F"/>
    <w:rsid w:val="006F01C5"/>
    <w:rsid w:val="006F47F7"/>
    <w:rsid w:val="006F5239"/>
    <w:rsid w:val="00700E7D"/>
    <w:rsid w:val="007169BF"/>
    <w:rsid w:val="0071767C"/>
    <w:rsid w:val="00717838"/>
    <w:rsid w:val="00720884"/>
    <w:rsid w:val="00725F19"/>
    <w:rsid w:val="007426DD"/>
    <w:rsid w:val="00751C2C"/>
    <w:rsid w:val="00756146"/>
    <w:rsid w:val="00760FEF"/>
    <w:rsid w:val="00766F7E"/>
    <w:rsid w:val="00782207"/>
    <w:rsid w:val="007875D6"/>
    <w:rsid w:val="007A0E00"/>
    <w:rsid w:val="007B0C1E"/>
    <w:rsid w:val="007B6BDB"/>
    <w:rsid w:val="007B7577"/>
    <w:rsid w:val="007C43B3"/>
    <w:rsid w:val="007C6ED1"/>
    <w:rsid w:val="007D367F"/>
    <w:rsid w:val="007D6685"/>
    <w:rsid w:val="007D77DE"/>
    <w:rsid w:val="007E294B"/>
    <w:rsid w:val="007E35A9"/>
    <w:rsid w:val="007E4723"/>
    <w:rsid w:val="007F28A3"/>
    <w:rsid w:val="00801912"/>
    <w:rsid w:val="00801999"/>
    <w:rsid w:val="00802932"/>
    <w:rsid w:val="00806770"/>
    <w:rsid w:val="008101B9"/>
    <w:rsid w:val="008176B3"/>
    <w:rsid w:val="00821919"/>
    <w:rsid w:val="00822857"/>
    <w:rsid w:val="00824774"/>
    <w:rsid w:val="00827B96"/>
    <w:rsid w:val="00832AC8"/>
    <w:rsid w:val="00835C69"/>
    <w:rsid w:val="00844CEE"/>
    <w:rsid w:val="00857E7F"/>
    <w:rsid w:val="008672B0"/>
    <w:rsid w:val="00876744"/>
    <w:rsid w:val="0088175D"/>
    <w:rsid w:val="00892F26"/>
    <w:rsid w:val="008A076B"/>
    <w:rsid w:val="008A1ED4"/>
    <w:rsid w:val="008A21AD"/>
    <w:rsid w:val="008B0C3D"/>
    <w:rsid w:val="008B14BD"/>
    <w:rsid w:val="008C3517"/>
    <w:rsid w:val="008C6A79"/>
    <w:rsid w:val="008D0BEB"/>
    <w:rsid w:val="008D7FC1"/>
    <w:rsid w:val="008E1E96"/>
    <w:rsid w:val="008E2578"/>
    <w:rsid w:val="008E2B3D"/>
    <w:rsid w:val="008E2C32"/>
    <w:rsid w:val="008E5876"/>
    <w:rsid w:val="008E617B"/>
    <w:rsid w:val="008E62C7"/>
    <w:rsid w:val="008F21A1"/>
    <w:rsid w:val="008F6D14"/>
    <w:rsid w:val="00905C2C"/>
    <w:rsid w:val="0091261D"/>
    <w:rsid w:val="00913146"/>
    <w:rsid w:val="0091324C"/>
    <w:rsid w:val="0091753C"/>
    <w:rsid w:val="0092085A"/>
    <w:rsid w:val="00923986"/>
    <w:rsid w:val="00924B61"/>
    <w:rsid w:val="00932167"/>
    <w:rsid w:val="00932D33"/>
    <w:rsid w:val="00937972"/>
    <w:rsid w:val="0094319D"/>
    <w:rsid w:val="00944541"/>
    <w:rsid w:val="00946549"/>
    <w:rsid w:val="00946AE2"/>
    <w:rsid w:val="00946BB6"/>
    <w:rsid w:val="00950186"/>
    <w:rsid w:val="009509CA"/>
    <w:rsid w:val="0095164D"/>
    <w:rsid w:val="00964E4E"/>
    <w:rsid w:val="009672B0"/>
    <w:rsid w:val="0097567A"/>
    <w:rsid w:val="00984399"/>
    <w:rsid w:val="009864F7"/>
    <w:rsid w:val="009B02E4"/>
    <w:rsid w:val="009B30EB"/>
    <w:rsid w:val="009B51E8"/>
    <w:rsid w:val="009C0EA8"/>
    <w:rsid w:val="009C2592"/>
    <w:rsid w:val="009C5295"/>
    <w:rsid w:val="009C5885"/>
    <w:rsid w:val="009D05B4"/>
    <w:rsid w:val="009D0DD5"/>
    <w:rsid w:val="009D588E"/>
    <w:rsid w:val="009D649A"/>
    <w:rsid w:val="009D6C5B"/>
    <w:rsid w:val="009E3596"/>
    <w:rsid w:val="009F053E"/>
    <w:rsid w:val="00A0755E"/>
    <w:rsid w:val="00A1158D"/>
    <w:rsid w:val="00A133F0"/>
    <w:rsid w:val="00A21156"/>
    <w:rsid w:val="00A22812"/>
    <w:rsid w:val="00A22FB3"/>
    <w:rsid w:val="00A23846"/>
    <w:rsid w:val="00A26AAB"/>
    <w:rsid w:val="00A31180"/>
    <w:rsid w:val="00A32563"/>
    <w:rsid w:val="00A35186"/>
    <w:rsid w:val="00A365A2"/>
    <w:rsid w:val="00A42492"/>
    <w:rsid w:val="00A43076"/>
    <w:rsid w:val="00A44B50"/>
    <w:rsid w:val="00A44EA5"/>
    <w:rsid w:val="00A60AD2"/>
    <w:rsid w:val="00A60CEF"/>
    <w:rsid w:val="00A65C7C"/>
    <w:rsid w:val="00A67885"/>
    <w:rsid w:val="00A709E0"/>
    <w:rsid w:val="00A70DD9"/>
    <w:rsid w:val="00A71F08"/>
    <w:rsid w:val="00A72C9A"/>
    <w:rsid w:val="00A72FFD"/>
    <w:rsid w:val="00A8274E"/>
    <w:rsid w:val="00A829D7"/>
    <w:rsid w:val="00A85738"/>
    <w:rsid w:val="00A909A6"/>
    <w:rsid w:val="00A928DF"/>
    <w:rsid w:val="00A94173"/>
    <w:rsid w:val="00AA1BE3"/>
    <w:rsid w:val="00AB022A"/>
    <w:rsid w:val="00AB4B40"/>
    <w:rsid w:val="00AC01F6"/>
    <w:rsid w:val="00AD164F"/>
    <w:rsid w:val="00AE0FEA"/>
    <w:rsid w:val="00AE2178"/>
    <w:rsid w:val="00AF048B"/>
    <w:rsid w:val="00AF5BDB"/>
    <w:rsid w:val="00AF62A2"/>
    <w:rsid w:val="00B02CD0"/>
    <w:rsid w:val="00B06636"/>
    <w:rsid w:val="00B1423F"/>
    <w:rsid w:val="00B160CD"/>
    <w:rsid w:val="00B16E39"/>
    <w:rsid w:val="00B17DFE"/>
    <w:rsid w:val="00B225B6"/>
    <w:rsid w:val="00B242D3"/>
    <w:rsid w:val="00B30DE0"/>
    <w:rsid w:val="00B3201F"/>
    <w:rsid w:val="00B361ED"/>
    <w:rsid w:val="00B362F8"/>
    <w:rsid w:val="00B378F4"/>
    <w:rsid w:val="00B43E93"/>
    <w:rsid w:val="00B44AF7"/>
    <w:rsid w:val="00B50272"/>
    <w:rsid w:val="00B53630"/>
    <w:rsid w:val="00B53872"/>
    <w:rsid w:val="00B543D8"/>
    <w:rsid w:val="00B5602C"/>
    <w:rsid w:val="00B565E3"/>
    <w:rsid w:val="00B6212D"/>
    <w:rsid w:val="00B62A99"/>
    <w:rsid w:val="00B64C0B"/>
    <w:rsid w:val="00B6766D"/>
    <w:rsid w:val="00B707A1"/>
    <w:rsid w:val="00B7114B"/>
    <w:rsid w:val="00B722D3"/>
    <w:rsid w:val="00B81DCC"/>
    <w:rsid w:val="00B90AB7"/>
    <w:rsid w:val="00B9499A"/>
    <w:rsid w:val="00B9693D"/>
    <w:rsid w:val="00B96AB2"/>
    <w:rsid w:val="00BA1756"/>
    <w:rsid w:val="00BA2437"/>
    <w:rsid w:val="00BA3578"/>
    <w:rsid w:val="00BA56B7"/>
    <w:rsid w:val="00BA5A4A"/>
    <w:rsid w:val="00BC04A3"/>
    <w:rsid w:val="00BC0F85"/>
    <w:rsid w:val="00BC3927"/>
    <w:rsid w:val="00BD425E"/>
    <w:rsid w:val="00BE2A58"/>
    <w:rsid w:val="00BE2B84"/>
    <w:rsid w:val="00BE2D81"/>
    <w:rsid w:val="00BE48E3"/>
    <w:rsid w:val="00BF01D1"/>
    <w:rsid w:val="00BF1796"/>
    <w:rsid w:val="00BF4FD2"/>
    <w:rsid w:val="00C01BA2"/>
    <w:rsid w:val="00C05719"/>
    <w:rsid w:val="00C06476"/>
    <w:rsid w:val="00C13A5E"/>
    <w:rsid w:val="00C14D34"/>
    <w:rsid w:val="00C249CB"/>
    <w:rsid w:val="00C24DB7"/>
    <w:rsid w:val="00C26BF6"/>
    <w:rsid w:val="00C277A6"/>
    <w:rsid w:val="00C359E2"/>
    <w:rsid w:val="00C4026B"/>
    <w:rsid w:val="00C40667"/>
    <w:rsid w:val="00C41D7F"/>
    <w:rsid w:val="00C42D70"/>
    <w:rsid w:val="00C43FF0"/>
    <w:rsid w:val="00C45C8B"/>
    <w:rsid w:val="00C51741"/>
    <w:rsid w:val="00C55267"/>
    <w:rsid w:val="00C64330"/>
    <w:rsid w:val="00C7338A"/>
    <w:rsid w:val="00C765A1"/>
    <w:rsid w:val="00C81ABA"/>
    <w:rsid w:val="00C95A64"/>
    <w:rsid w:val="00CA119E"/>
    <w:rsid w:val="00CA1B79"/>
    <w:rsid w:val="00CA3C55"/>
    <w:rsid w:val="00CB142C"/>
    <w:rsid w:val="00CB6BA5"/>
    <w:rsid w:val="00CB709F"/>
    <w:rsid w:val="00CC2A84"/>
    <w:rsid w:val="00CC3C0A"/>
    <w:rsid w:val="00CC5C95"/>
    <w:rsid w:val="00CC6C89"/>
    <w:rsid w:val="00CD6DE5"/>
    <w:rsid w:val="00CE435F"/>
    <w:rsid w:val="00CE4B38"/>
    <w:rsid w:val="00CE7C84"/>
    <w:rsid w:val="00CF49CE"/>
    <w:rsid w:val="00D00ACD"/>
    <w:rsid w:val="00D0339B"/>
    <w:rsid w:val="00D12B7F"/>
    <w:rsid w:val="00D13041"/>
    <w:rsid w:val="00D14A6F"/>
    <w:rsid w:val="00D24394"/>
    <w:rsid w:val="00D27980"/>
    <w:rsid w:val="00D33C26"/>
    <w:rsid w:val="00D34B74"/>
    <w:rsid w:val="00D41B34"/>
    <w:rsid w:val="00D4498E"/>
    <w:rsid w:val="00D46E04"/>
    <w:rsid w:val="00D50B82"/>
    <w:rsid w:val="00D61774"/>
    <w:rsid w:val="00D67654"/>
    <w:rsid w:val="00D70EC9"/>
    <w:rsid w:val="00D7203D"/>
    <w:rsid w:val="00D7488C"/>
    <w:rsid w:val="00D76316"/>
    <w:rsid w:val="00D77952"/>
    <w:rsid w:val="00D80176"/>
    <w:rsid w:val="00D81694"/>
    <w:rsid w:val="00D84E63"/>
    <w:rsid w:val="00D911A9"/>
    <w:rsid w:val="00D94272"/>
    <w:rsid w:val="00DA5792"/>
    <w:rsid w:val="00DA69F7"/>
    <w:rsid w:val="00DA787C"/>
    <w:rsid w:val="00DB5997"/>
    <w:rsid w:val="00DB64B4"/>
    <w:rsid w:val="00DB71E6"/>
    <w:rsid w:val="00DC1B48"/>
    <w:rsid w:val="00DC3C5E"/>
    <w:rsid w:val="00DC4017"/>
    <w:rsid w:val="00DC5671"/>
    <w:rsid w:val="00DD3B43"/>
    <w:rsid w:val="00DE363B"/>
    <w:rsid w:val="00DE7C08"/>
    <w:rsid w:val="00DF0B99"/>
    <w:rsid w:val="00DF1389"/>
    <w:rsid w:val="00DF4E65"/>
    <w:rsid w:val="00E1131E"/>
    <w:rsid w:val="00E12D6D"/>
    <w:rsid w:val="00E1314E"/>
    <w:rsid w:val="00E14A3F"/>
    <w:rsid w:val="00E14BDD"/>
    <w:rsid w:val="00E160C6"/>
    <w:rsid w:val="00E16320"/>
    <w:rsid w:val="00E1677F"/>
    <w:rsid w:val="00E20DE4"/>
    <w:rsid w:val="00E30C1D"/>
    <w:rsid w:val="00E35C91"/>
    <w:rsid w:val="00E373B6"/>
    <w:rsid w:val="00E43C49"/>
    <w:rsid w:val="00E5037E"/>
    <w:rsid w:val="00E53720"/>
    <w:rsid w:val="00E62AA3"/>
    <w:rsid w:val="00E6551E"/>
    <w:rsid w:val="00E65F4A"/>
    <w:rsid w:val="00E71976"/>
    <w:rsid w:val="00E76310"/>
    <w:rsid w:val="00E7754E"/>
    <w:rsid w:val="00E80C6A"/>
    <w:rsid w:val="00E87A90"/>
    <w:rsid w:val="00E94A92"/>
    <w:rsid w:val="00EB717D"/>
    <w:rsid w:val="00EC2EF6"/>
    <w:rsid w:val="00EC7AD8"/>
    <w:rsid w:val="00ED1BE8"/>
    <w:rsid w:val="00ED3EAD"/>
    <w:rsid w:val="00ED64D7"/>
    <w:rsid w:val="00ED6C28"/>
    <w:rsid w:val="00EE1775"/>
    <w:rsid w:val="00EE770F"/>
    <w:rsid w:val="00EE7C5C"/>
    <w:rsid w:val="00EF0170"/>
    <w:rsid w:val="00EF01E5"/>
    <w:rsid w:val="00EF0EA6"/>
    <w:rsid w:val="00F02AC7"/>
    <w:rsid w:val="00F02D2A"/>
    <w:rsid w:val="00F05362"/>
    <w:rsid w:val="00F074E6"/>
    <w:rsid w:val="00F218ED"/>
    <w:rsid w:val="00F21FD9"/>
    <w:rsid w:val="00F22525"/>
    <w:rsid w:val="00F250A4"/>
    <w:rsid w:val="00F25F2A"/>
    <w:rsid w:val="00F265B4"/>
    <w:rsid w:val="00F311CE"/>
    <w:rsid w:val="00F36BBF"/>
    <w:rsid w:val="00F40884"/>
    <w:rsid w:val="00F41974"/>
    <w:rsid w:val="00F42CEB"/>
    <w:rsid w:val="00F545D6"/>
    <w:rsid w:val="00F55565"/>
    <w:rsid w:val="00F60E58"/>
    <w:rsid w:val="00F610D6"/>
    <w:rsid w:val="00F65558"/>
    <w:rsid w:val="00F65AF3"/>
    <w:rsid w:val="00F66C3E"/>
    <w:rsid w:val="00F6794E"/>
    <w:rsid w:val="00F71AF3"/>
    <w:rsid w:val="00F725C8"/>
    <w:rsid w:val="00F75443"/>
    <w:rsid w:val="00F83EEC"/>
    <w:rsid w:val="00F856A0"/>
    <w:rsid w:val="00F96371"/>
    <w:rsid w:val="00F97C7B"/>
    <w:rsid w:val="00FA06E4"/>
    <w:rsid w:val="00FB6BF7"/>
    <w:rsid w:val="00FB7D50"/>
    <w:rsid w:val="00FC037A"/>
    <w:rsid w:val="00FC2758"/>
    <w:rsid w:val="00FC2DB5"/>
    <w:rsid w:val="00FC5841"/>
    <w:rsid w:val="00FC6373"/>
    <w:rsid w:val="00FD18AE"/>
    <w:rsid w:val="00FD3156"/>
    <w:rsid w:val="00FD3A7F"/>
    <w:rsid w:val="00FD4967"/>
    <w:rsid w:val="00FE5DA7"/>
    <w:rsid w:val="00FE68A2"/>
    <w:rsid w:val="00FF08A6"/>
    <w:rsid w:val="00FF09E8"/>
    <w:rsid w:val="00FF1F39"/>
    <w:rsid w:val="00FF2345"/>
    <w:rsid w:val="00FF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485DD"/>
  <w15:chartTrackingRefBased/>
  <w15:docId w15:val="{D2B99DAC-1FB0-4AE4-AEF9-F264BB53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F01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C39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BF7"/>
  </w:style>
  <w:style w:type="paragraph" w:styleId="Footer">
    <w:name w:val="footer"/>
    <w:basedOn w:val="Normal"/>
    <w:link w:val="FooterChar"/>
    <w:uiPriority w:val="99"/>
    <w:unhideWhenUsed/>
    <w:rsid w:val="00FB6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BF7"/>
  </w:style>
  <w:style w:type="character" w:styleId="Hyperlink">
    <w:name w:val="Hyperlink"/>
    <w:basedOn w:val="DefaultParagraphFont"/>
    <w:uiPriority w:val="99"/>
    <w:unhideWhenUsed/>
    <w:rsid w:val="001131BD"/>
    <w:rPr>
      <w:color w:val="0563C1" w:themeColor="hyperlink"/>
      <w:u w:val="single"/>
    </w:rPr>
  </w:style>
  <w:style w:type="paragraph" w:styleId="BalloonText">
    <w:name w:val="Balloon Text"/>
    <w:basedOn w:val="Normal"/>
    <w:link w:val="BalloonTextChar"/>
    <w:uiPriority w:val="99"/>
    <w:semiHidden/>
    <w:unhideWhenUsed/>
    <w:rsid w:val="00BE2B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B84"/>
    <w:rPr>
      <w:rFonts w:ascii="Segoe UI" w:hAnsi="Segoe UI" w:cs="Segoe UI"/>
      <w:sz w:val="18"/>
      <w:szCs w:val="18"/>
    </w:rPr>
  </w:style>
  <w:style w:type="paragraph" w:styleId="ListParagraph">
    <w:name w:val="List Paragraph"/>
    <w:basedOn w:val="Normal"/>
    <w:uiPriority w:val="34"/>
    <w:qFormat/>
    <w:rsid w:val="00FA06E4"/>
    <w:pPr>
      <w:ind w:left="720"/>
      <w:contextualSpacing/>
    </w:pPr>
  </w:style>
  <w:style w:type="paragraph" w:styleId="BodyText">
    <w:name w:val="Body Text"/>
    <w:basedOn w:val="Normal"/>
    <w:link w:val="BodyTextChar"/>
    <w:rsid w:val="00532CA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32CA4"/>
    <w:rPr>
      <w:rFonts w:ascii="Times New Roman" w:eastAsia="Times New Roman" w:hAnsi="Times New Roman" w:cs="Times New Roman"/>
      <w:sz w:val="24"/>
      <w:szCs w:val="20"/>
    </w:rPr>
  </w:style>
  <w:style w:type="paragraph" w:customStyle="1" w:styleId="DefaultText">
    <w:name w:val="Default Text"/>
    <w:basedOn w:val="Normal"/>
    <w:rsid w:val="00532CA4"/>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F01E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D4498E"/>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font8">
    <w:name w:val="font_8"/>
    <w:basedOn w:val="Normal"/>
    <w:rsid w:val="003C70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3C70A2"/>
  </w:style>
  <w:style w:type="paragraph" w:styleId="PlainText">
    <w:name w:val="Plain Text"/>
    <w:basedOn w:val="Normal"/>
    <w:link w:val="PlainTextChar"/>
    <w:uiPriority w:val="99"/>
    <w:unhideWhenUsed/>
    <w:rsid w:val="00B543D8"/>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B543D8"/>
    <w:rPr>
      <w:rFonts w:ascii="Calibri" w:eastAsia="Times New Roman" w:hAnsi="Calibri" w:cs="Consolas"/>
      <w:szCs w:val="21"/>
    </w:rPr>
  </w:style>
  <w:style w:type="character" w:styleId="UnresolvedMention">
    <w:name w:val="Unresolved Mention"/>
    <w:basedOn w:val="DefaultParagraphFont"/>
    <w:uiPriority w:val="99"/>
    <w:semiHidden/>
    <w:unhideWhenUsed/>
    <w:rsid w:val="004632BA"/>
    <w:rPr>
      <w:color w:val="605E5C"/>
      <w:shd w:val="clear" w:color="auto" w:fill="E1DFDD"/>
    </w:rPr>
  </w:style>
  <w:style w:type="character" w:styleId="CommentReference">
    <w:name w:val="annotation reference"/>
    <w:basedOn w:val="DefaultParagraphFont"/>
    <w:uiPriority w:val="99"/>
    <w:semiHidden/>
    <w:unhideWhenUsed/>
    <w:rsid w:val="003B046B"/>
    <w:rPr>
      <w:sz w:val="16"/>
      <w:szCs w:val="16"/>
    </w:rPr>
  </w:style>
  <w:style w:type="paragraph" w:styleId="CommentText">
    <w:name w:val="annotation text"/>
    <w:basedOn w:val="Normal"/>
    <w:link w:val="CommentTextChar"/>
    <w:uiPriority w:val="99"/>
    <w:unhideWhenUsed/>
    <w:rsid w:val="003B046B"/>
    <w:pPr>
      <w:spacing w:line="240" w:lineRule="auto"/>
    </w:pPr>
    <w:rPr>
      <w:sz w:val="20"/>
      <w:szCs w:val="20"/>
    </w:rPr>
  </w:style>
  <w:style w:type="character" w:customStyle="1" w:styleId="CommentTextChar">
    <w:name w:val="Comment Text Char"/>
    <w:basedOn w:val="DefaultParagraphFont"/>
    <w:link w:val="CommentText"/>
    <w:uiPriority w:val="99"/>
    <w:rsid w:val="003B046B"/>
    <w:rPr>
      <w:sz w:val="20"/>
      <w:szCs w:val="20"/>
    </w:rPr>
  </w:style>
  <w:style w:type="paragraph" w:styleId="CommentSubject">
    <w:name w:val="annotation subject"/>
    <w:basedOn w:val="CommentText"/>
    <w:next w:val="CommentText"/>
    <w:link w:val="CommentSubjectChar"/>
    <w:uiPriority w:val="99"/>
    <w:semiHidden/>
    <w:unhideWhenUsed/>
    <w:rsid w:val="003B046B"/>
    <w:rPr>
      <w:b/>
      <w:bCs/>
    </w:rPr>
  </w:style>
  <w:style w:type="character" w:customStyle="1" w:styleId="CommentSubjectChar">
    <w:name w:val="Comment Subject Char"/>
    <w:basedOn w:val="CommentTextChar"/>
    <w:link w:val="CommentSubject"/>
    <w:uiPriority w:val="99"/>
    <w:semiHidden/>
    <w:rsid w:val="003B046B"/>
    <w:rPr>
      <w:b/>
      <w:bCs/>
      <w:sz w:val="20"/>
      <w:szCs w:val="20"/>
    </w:rPr>
  </w:style>
  <w:style w:type="paragraph" w:styleId="Revision">
    <w:name w:val="Revision"/>
    <w:hidden/>
    <w:uiPriority w:val="99"/>
    <w:semiHidden/>
    <w:rsid w:val="00932D33"/>
    <w:pPr>
      <w:spacing w:after="0" w:line="240" w:lineRule="auto"/>
    </w:pPr>
  </w:style>
  <w:style w:type="character" w:customStyle="1" w:styleId="Heading3Char">
    <w:name w:val="Heading 3 Char"/>
    <w:basedOn w:val="DefaultParagraphFont"/>
    <w:link w:val="Heading3"/>
    <w:uiPriority w:val="9"/>
    <w:semiHidden/>
    <w:rsid w:val="00BC392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92659">
      <w:bodyDiv w:val="1"/>
      <w:marLeft w:val="0"/>
      <w:marRight w:val="0"/>
      <w:marTop w:val="0"/>
      <w:marBottom w:val="0"/>
      <w:divBdr>
        <w:top w:val="none" w:sz="0" w:space="0" w:color="auto"/>
        <w:left w:val="none" w:sz="0" w:space="0" w:color="auto"/>
        <w:bottom w:val="none" w:sz="0" w:space="0" w:color="auto"/>
        <w:right w:val="none" w:sz="0" w:space="0" w:color="auto"/>
      </w:divBdr>
      <w:divsChild>
        <w:div w:id="1679039697">
          <w:marLeft w:val="0"/>
          <w:marRight w:val="0"/>
          <w:marTop w:val="0"/>
          <w:marBottom w:val="0"/>
          <w:divBdr>
            <w:top w:val="none" w:sz="0" w:space="0" w:color="auto"/>
            <w:left w:val="none" w:sz="0" w:space="0" w:color="auto"/>
            <w:bottom w:val="none" w:sz="0" w:space="0" w:color="auto"/>
            <w:right w:val="none" w:sz="0" w:space="0" w:color="auto"/>
          </w:divBdr>
          <w:divsChild>
            <w:div w:id="1189293065">
              <w:marLeft w:val="0"/>
              <w:marRight w:val="0"/>
              <w:marTop w:val="0"/>
              <w:marBottom w:val="0"/>
              <w:divBdr>
                <w:top w:val="single" w:sz="12" w:space="1" w:color="0B57D0"/>
                <w:left w:val="single" w:sz="12" w:space="2" w:color="0B57D0"/>
                <w:bottom w:val="single" w:sz="12" w:space="1" w:color="0B57D0"/>
                <w:right w:val="single" w:sz="12" w:space="2" w:color="0B57D0"/>
              </w:divBdr>
              <w:divsChild>
                <w:div w:id="8146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82365">
      <w:bodyDiv w:val="1"/>
      <w:marLeft w:val="0"/>
      <w:marRight w:val="0"/>
      <w:marTop w:val="0"/>
      <w:marBottom w:val="0"/>
      <w:divBdr>
        <w:top w:val="none" w:sz="0" w:space="0" w:color="auto"/>
        <w:left w:val="none" w:sz="0" w:space="0" w:color="auto"/>
        <w:bottom w:val="none" w:sz="0" w:space="0" w:color="auto"/>
        <w:right w:val="none" w:sz="0" w:space="0" w:color="auto"/>
      </w:divBdr>
      <w:divsChild>
        <w:div w:id="793210845">
          <w:marLeft w:val="547"/>
          <w:marRight w:val="0"/>
          <w:marTop w:val="134"/>
          <w:marBottom w:val="0"/>
          <w:divBdr>
            <w:top w:val="none" w:sz="0" w:space="0" w:color="auto"/>
            <w:left w:val="none" w:sz="0" w:space="0" w:color="auto"/>
            <w:bottom w:val="none" w:sz="0" w:space="0" w:color="auto"/>
            <w:right w:val="none" w:sz="0" w:space="0" w:color="auto"/>
          </w:divBdr>
        </w:div>
      </w:divsChild>
    </w:div>
    <w:div w:id="336156864">
      <w:bodyDiv w:val="1"/>
      <w:marLeft w:val="0"/>
      <w:marRight w:val="0"/>
      <w:marTop w:val="0"/>
      <w:marBottom w:val="0"/>
      <w:divBdr>
        <w:top w:val="none" w:sz="0" w:space="0" w:color="auto"/>
        <w:left w:val="none" w:sz="0" w:space="0" w:color="auto"/>
        <w:bottom w:val="none" w:sz="0" w:space="0" w:color="auto"/>
        <w:right w:val="none" w:sz="0" w:space="0" w:color="auto"/>
      </w:divBdr>
    </w:div>
    <w:div w:id="469369041">
      <w:bodyDiv w:val="1"/>
      <w:marLeft w:val="0"/>
      <w:marRight w:val="0"/>
      <w:marTop w:val="0"/>
      <w:marBottom w:val="0"/>
      <w:divBdr>
        <w:top w:val="none" w:sz="0" w:space="0" w:color="auto"/>
        <w:left w:val="none" w:sz="0" w:space="0" w:color="auto"/>
        <w:bottom w:val="none" w:sz="0" w:space="0" w:color="auto"/>
        <w:right w:val="none" w:sz="0" w:space="0" w:color="auto"/>
      </w:divBdr>
    </w:div>
    <w:div w:id="492449228">
      <w:bodyDiv w:val="1"/>
      <w:marLeft w:val="0"/>
      <w:marRight w:val="0"/>
      <w:marTop w:val="0"/>
      <w:marBottom w:val="0"/>
      <w:divBdr>
        <w:top w:val="none" w:sz="0" w:space="0" w:color="auto"/>
        <w:left w:val="none" w:sz="0" w:space="0" w:color="auto"/>
        <w:bottom w:val="none" w:sz="0" w:space="0" w:color="auto"/>
        <w:right w:val="none" w:sz="0" w:space="0" w:color="auto"/>
      </w:divBdr>
    </w:div>
    <w:div w:id="737244861">
      <w:bodyDiv w:val="1"/>
      <w:marLeft w:val="0"/>
      <w:marRight w:val="0"/>
      <w:marTop w:val="0"/>
      <w:marBottom w:val="0"/>
      <w:divBdr>
        <w:top w:val="none" w:sz="0" w:space="0" w:color="auto"/>
        <w:left w:val="none" w:sz="0" w:space="0" w:color="auto"/>
        <w:bottom w:val="none" w:sz="0" w:space="0" w:color="auto"/>
        <w:right w:val="none" w:sz="0" w:space="0" w:color="auto"/>
      </w:divBdr>
    </w:div>
    <w:div w:id="1250505000">
      <w:bodyDiv w:val="1"/>
      <w:marLeft w:val="0"/>
      <w:marRight w:val="0"/>
      <w:marTop w:val="0"/>
      <w:marBottom w:val="0"/>
      <w:divBdr>
        <w:top w:val="none" w:sz="0" w:space="0" w:color="auto"/>
        <w:left w:val="none" w:sz="0" w:space="0" w:color="auto"/>
        <w:bottom w:val="none" w:sz="0" w:space="0" w:color="auto"/>
        <w:right w:val="none" w:sz="0" w:space="0" w:color="auto"/>
      </w:divBdr>
      <w:divsChild>
        <w:div w:id="1532912205">
          <w:marLeft w:val="547"/>
          <w:marRight w:val="0"/>
          <w:marTop w:val="134"/>
          <w:marBottom w:val="0"/>
          <w:divBdr>
            <w:top w:val="none" w:sz="0" w:space="0" w:color="auto"/>
            <w:left w:val="none" w:sz="0" w:space="0" w:color="auto"/>
            <w:bottom w:val="none" w:sz="0" w:space="0" w:color="auto"/>
            <w:right w:val="none" w:sz="0" w:space="0" w:color="auto"/>
          </w:divBdr>
        </w:div>
      </w:divsChild>
    </w:div>
    <w:div w:id="1338770816">
      <w:bodyDiv w:val="1"/>
      <w:marLeft w:val="0"/>
      <w:marRight w:val="0"/>
      <w:marTop w:val="0"/>
      <w:marBottom w:val="0"/>
      <w:divBdr>
        <w:top w:val="none" w:sz="0" w:space="0" w:color="auto"/>
        <w:left w:val="none" w:sz="0" w:space="0" w:color="auto"/>
        <w:bottom w:val="none" w:sz="0" w:space="0" w:color="auto"/>
        <w:right w:val="none" w:sz="0" w:space="0" w:color="auto"/>
      </w:divBdr>
    </w:div>
    <w:div w:id="1396270910">
      <w:bodyDiv w:val="1"/>
      <w:marLeft w:val="0"/>
      <w:marRight w:val="0"/>
      <w:marTop w:val="0"/>
      <w:marBottom w:val="0"/>
      <w:divBdr>
        <w:top w:val="none" w:sz="0" w:space="0" w:color="auto"/>
        <w:left w:val="none" w:sz="0" w:space="0" w:color="auto"/>
        <w:bottom w:val="none" w:sz="0" w:space="0" w:color="auto"/>
        <w:right w:val="none" w:sz="0" w:space="0" w:color="auto"/>
      </w:divBdr>
    </w:div>
    <w:div w:id="1700934037">
      <w:bodyDiv w:val="1"/>
      <w:marLeft w:val="0"/>
      <w:marRight w:val="0"/>
      <w:marTop w:val="0"/>
      <w:marBottom w:val="0"/>
      <w:divBdr>
        <w:top w:val="none" w:sz="0" w:space="0" w:color="auto"/>
        <w:left w:val="none" w:sz="0" w:space="0" w:color="auto"/>
        <w:bottom w:val="none" w:sz="0" w:space="0" w:color="auto"/>
        <w:right w:val="none" w:sz="0" w:space="0" w:color="auto"/>
      </w:divBdr>
      <w:divsChild>
        <w:div w:id="766190510">
          <w:marLeft w:val="547"/>
          <w:marRight w:val="0"/>
          <w:marTop w:val="134"/>
          <w:marBottom w:val="0"/>
          <w:divBdr>
            <w:top w:val="none" w:sz="0" w:space="0" w:color="auto"/>
            <w:left w:val="none" w:sz="0" w:space="0" w:color="auto"/>
            <w:bottom w:val="none" w:sz="0" w:space="0" w:color="auto"/>
            <w:right w:val="none" w:sz="0" w:space="0" w:color="auto"/>
          </w:divBdr>
        </w:div>
      </w:divsChild>
    </w:div>
    <w:div w:id="1712605016">
      <w:bodyDiv w:val="1"/>
      <w:marLeft w:val="0"/>
      <w:marRight w:val="0"/>
      <w:marTop w:val="0"/>
      <w:marBottom w:val="0"/>
      <w:divBdr>
        <w:top w:val="none" w:sz="0" w:space="0" w:color="auto"/>
        <w:left w:val="none" w:sz="0" w:space="0" w:color="auto"/>
        <w:bottom w:val="none" w:sz="0" w:space="0" w:color="auto"/>
        <w:right w:val="none" w:sz="0" w:space="0" w:color="auto"/>
      </w:divBdr>
    </w:div>
    <w:div w:id="2018846779">
      <w:bodyDiv w:val="1"/>
      <w:marLeft w:val="0"/>
      <w:marRight w:val="0"/>
      <w:marTop w:val="0"/>
      <w:marBottom w:val="0"/>
      <w:divBdr>
        <w:top w:val="none" w:sz="0" w:space="0" w:color="auto"/>
        <w:left w:val="none" w:sz="0" w:space="0" w:color="auto"/>
        <w:bottom w:val="none" w:sz="0" w:space="0" w:color="auto"/>
        <w:right w:val="none" w:sz="0" w:space="0" w:color="auto"/>
      </w:divBdr>
    </w:div>
    <w:div w:id="2134442632">
      <w:bodyDiv w:val="1"/>
      <w:marLeft w:val="0"/>
      <w:marRight w:val="0"/>
      <w:marTop w:val="0"/>
      <w:marBottom w:val="0"/>
      <w:divBdr>
        <w:top w:val="none" w:sz="0" w:space="0" w:color="auto"/>
        <w:left w:val="none" w:sz="0" w:space="0" w:color="auto"/>
        <w:bottom w:val="none" w:sz="0" w:space="0" w:color="auto"/>
        <w:right w:val="none" w:sz="0" w:space="0" w:color="auto"/>
      </w:divBdr>
      <w:divsChild>
        <w:div w:id="1391882361">
          <w:marLeft w:val="0"/>
          <w:marRight w:val="0"/>
          <w:marTop w:val="0"/>
          <w:marBottom w:val="0"/>
          <w:divBdr>
            <w:top w:val="none" w:sz="0" w:space="0" w:color="auto"/>
            <w:left w:val="none" w:sz="0" w:space="0" w:color="auto"/>
            <w:bottom w:val="none" w:sz="0" w:space="0" w:color="auto"/>
            <w:right w:val="none" w:sz="0" w:space="0" w:color="auto"/>
          </w:divBdr>
          <w:divsChild>
            <w:div w:id="81345382">
              <w:marLeft w:val="0"/>
              <w:marRight w:val="0"/>
              <w:marTop w:val="0"/>
              <w:marBottom w:val="0"/>
              <w:divBdr>
                <w:top w:val="none" w:sz="0" w:space="0" w:color="auto"/>
                <w:left w:val="none" w:sz="0" w:space="0" w:color="auto"/>
                <w:bottom w:val="none" w:sz="0" w:space="0" w:color="auto"/>
                <w:right w:val="none" w:sz="0" w:space="0" w:color="auto"/>
              </w:divBdr>
              <w:divsChild>
                <w:div w:id="1388338940">
                  <w:marLeft w:val="0"/>
                  <w:marRight w:val="0"/>
                  <w:marTop w:val="0"/>
                  <w:marBottom w:val="0"/>
                  <w:divBdr>
                    <w:top w:val="none" w:sz="0" w:space="0" w:color="auto"/>
                    <w:left w:val="none" w:sz="0" w:space="0" w:color="auto"/>
                    <w:bottom w:val="none" w:sz="0" w:space="0" w:color="auto"/>
                    <w:right w:val="none" w:sz="0" w:space="0" w:color="auto"/>
                  </w:divBdr>
                  <w:divsChild>
                    <w:div w:id="2110157724">
                      <w:marLeft w:val="0"/>
                      <w:marRight w:val="0"/>
                      <w:marTop w:val="0"/>
                      <w:marBottom w:val="0"/>
                      <w:divBdr>
                        <w:top w:val="none" w:sz="0" w:space="0" w:color="auto"/>
                        <w:left w:val="none" w:sz="0" w:space="0" w:color="auto"/>
                        <w:bottom w:val="none" w:sz="0" w:space="0" w:color="auto"/>
                        <w:right w:val="none" w:sz="0" w:space="0" w:color="auto"/>
                      </w:divBdr>
                      <w:divsChild>
                        <w:div w:id="1619334742">
                          <w:marLeft w:val="0"/>
                          <w:marRight w:val="0"/>
                          <w:marTop w:val="0"/>
                          <w:marBottom w:val="0"/>
                          <w:divBdr>
                            <w:top w:val="none" w:sz="0" w:space="0" w:color="auto"/>
                            <w:left w:val="none" w:sz="0" w:space="0" w:color="auto"/>
                            <w:bottom w:val="none" w:sz="0" w:space="0" w:color="auto"/>
                            <w:right w:val="none" w:sz="0" w:space="0" w:color="auto"/>
                          </w:divBdr>
                          <w:divsChild>
                            <w:div w:id="1382946580">
                              <w:marLeft w:val="0"/>
                              <w:marRight w:val="0"/>
                              <w:marTop w:val="0"/>
                              <w:marBottom w:val="0"/>
                              <w:divBdr>
                                <w:top w:val="none" w:sz="0" w:space="0" w:color="auto"/>
                                <w:left w:val="none" w:sz="0" w:space="0" w:color="auto"/>
                                <w:bottom w:val="none" w:sz="0" w:space="0" w:color="auto"/>
                                <w:right w:val="none" w:sz="0" w:space="0" w:color="auto"/>
                              </w:divBdr>
                              <w:divsChild>
                                <w:div w:id="1081872377">
                                  <w:marLeft w:val="0"/>
                                  <w:marRight w:val="0"/>
                                  <w:marTop w:val="0"/>
                                  <w:marBottom w:val="0"/>
                                  <w:divBdr>
                                    <w:top w:val="none" w:sz="0" w:space="0" w:color="auto"/>
                                    <w:left w:val="none" w:sz="0" w:space="0" w:color="auto"/>
                                    <w:bottom w:val="none" w:sz="0" w:space="0" w:color="auto"/>
                                    <w:right w:val="none" w:sz="0" w:space="0" w:color="auto"/>
                                  </w:divBdr>
                                  <w:divsChild>
                                    <w:div w:id="1360014294">
                                      <w:marLeft w:val="0"/>
                                      <w:marRight w:val="0"/>
                                      <w:marTop w:val="0"/>
                                      <w:marBottom w:val="0"/>
                                      <w:divBdr>
                                        <w:top w:val="none" w:sz="0" w:space="0" w:color="auto"/>
                                        <w:left w:val="none" w:sz="0" w:space="0" w:color="auto"/>
                                        <w:bottom w:val="none" w:sz="0" w:space="0" w:color="auto"/>
                                        <w:right w:val="none" w:sz="0" w:space="0" w:color="auto"/>
                                      </w:divBdr>
                                      <w:divsChild>
                                        <w:div w:id="1736052866">
                                          <w:marLeft w:val="0"/>
                                          <w:marRight w:val="0"/>
                                          <w:marTop w:val="0"/>
                                          <w:marBottom w:val="0"/>
                                          <w:divBdr>
                                            <w:top w:val="none" w:sz="0" w:space="0" w:color="auto"/>
                                            <w:left w:val="none" w:sz="0" w:space="0" w:color="auto"/>
                                            <w:bottom w:val="none" w:sz="0" w:space="0" w:color="auto"/>
                                            <w:right w:val="none" w:sz="0" w:space="0" w:color="auto"/>
                                          </w:divBdr>
                                          <w:divsChild>
                                            <w:div w:id="956302726">
                                              <w:marLeft w:val="0"/>
                                              <w:marRight w:val="0"/>
                                              <w:marTop w:val="0"/>
                                              <w:marBottom w:val="0"/>
                                              <w:divBdr>
                                                <w:top w:val="none" w:sz="0" w:space="0" w:color="auto"/>
                                                <w:left w:val="none" w:sz="0" w:space="0" w:color="auto"/>
                                                <w:bottom w:val="none" w:sz="0" w:space="0" w:color="auto"/>
                                                <w:right w:val="none" w:sz="0" w:space="0" w:color="auto"/>
                                              </w:divBdr>
                                              <w:divsChild>
                                                <w:div w:id="405811358">
                                                  <w:marLeft w:val="0"/>
                                                  <w:marRight w:val="0"/>
                                                  <w:marTop w:val="0"/>
                                                  <w:marBottom w:val="0"/>
                                                  <w:divBdr>
                                                    <w:top w:val="none" w:sz="0" w:space="0" w:color="auto"/>
                                                    <w:left w:val="none" w:sz="0" w:space="0" w:color="auto"/>
                                                    <w:bottom w:val="none" w:sz="0" w:space="0" w:color="auto"/>
                                                    <w:right w:val="none" w:sz="0" w:space="0" w:color="auto"/>
                                                  </w:divBdr>
                                                  <w:divsChild>
                                                    <w:div w:id="751313096">
                                                      <w:marLeft w:val="0"/>
                                                      <w:marRight w:val="0"/>
                                                      <w:marTop w:val="0"/>
                                                      <w:marBottom w:val="0"/>
                                                      <w:divBdr>
                                                        <w:top w:val="none" w:sz="0" w:space="0" w:color="auto"/>
                                                        <w:left w:val="none" w:sz="0" w:space="0" w:color="auto"/>
                                                        <w:bottom w:val="none" w:sz="0" w:space="0" w:color="auto"/>
                                                        <w:right w:val="none" w:sz="0" w:space="0" w:color="auto"/>
                                                      </w:divBdr>
                                                      <w:divsChild>
                                                        <w:div w:id="66698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908950">
          <w:marLeft w:val="0"/>
          <w:marRight w:val="0"/>
          <w:marTop w:val="0"/>
          <w:marBottom w:val="0"/>
          <w:divBdr>
            <w:top w:val="none" w:sz="0" w:space="0" w:color="auto"/>
            <w:left w:val="none" w:sz="0" w:space="0" w:color="auto"/>
            <w:bottom w:val="none" w:sz="0" w:space="0" w:color="auto"/>
            <w:right w:val="none" w:sz="0" w:space="0" w:color="auto"/>
          </w:divBdr>
          <w:divsChild>
            <w:div w:id="1680040356">
              <w:marLeft w:val="0"/>
              <w:marRight w:val="0"/>
              <w:marTop w:val="0"/>
              <w:marBottom w:val="0"/>
              <w:divBdr>
                <w:top w:val="none" w:sz="0" w:space="0" w:color="auto"/>
                <w:left w:val="none" w:sz="0" w:space="0" w:color="auto"/>
                <w:bottom w:val="none" w:sz="0" w:space="0" w:color="auto"/>
                <w:right w:val="none" w:sz="0" w:space="0" w:color="auto"/>
              </w:divBdr>
              <w:divsChild>
                <w:div w:id="1818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hyperlink" Target="http://www.FloridaTrust.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2065</Words>
  <Characters>12664</Characters>
  <Application>Microsoft Office Word</Application>
  <DocSecurity>0</DocSecurity>
  <Lines>243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Wyllie</dc:creator>
  <cp:keywords/>
  <dc:description/>
  <cp:lastModifiedBy>Ennis Davis</cp:lastModifiedBy>
  <cp:revision>2</cp:revision>
  <cp:lastPrinted>2017-05-04T17:58:00Z</cp:lastPrinted>
  <dcterms:created xsi:type="dcterms:W3CDTF">2026-05-10T21:32:00Z</dcterms:created>
  <dcterms:modified xsi:type="dcterms:W3CDTF">2026-05-10T21:32:00Z</dcterms:modified>
</cp:coreProperties>
</file>